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item2.xml" ContentType="application/xml"/>
  <Override PartName="/customXml/_rels/item2.xml.rels" ContentType="application/vnd.openxmlformats-package.relationships+xml"/>
  <Override PartName="/customXml/_rels/item1.xml.rels" ContentType="application/vnd.openxmlformats-package.relationships+xml"/>
  <Override PartName="/customXml/itemProps2.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708"/>
          <w:tab w:val="left" w:pos="3148" w:leader="none"/>
          <w:tab w:val="center" w:pos="4818" w:leader="none"/>
          <w:tab w:val="left" w:pos="6926" w:leader="none"/>
        </w:tabs>
        <w:spacing w:lineRule="auto" w:line="240"/>
        <w:ind w:hanging="0"/>
        <w:jc w:val="center"/>
        <w:rPr>
          <w:b/>
          <w:bCs/>
          <w:sz w:val="24"/>
          <w:szCs w:val="24"/>
        </w:rPr>
      </w:pPr>
      <w:r>
        <w:rPr>
          <w:b/>
          <w:bCs/>
          <w:sz w:val="24"/>
          <w:szCs w:val="24"/>
        </w:rPr>
        <w:t>Договор подряда № ____</w:t>
      </w:r>
    </w:p>
    <w:p>
      <w:pPr>
        <w:pStyle w:val="Normal"/>
        <w:spacing w:lineRule="auto" w:line="240"/>
        <w:ind w:hanging="0"/>
        <w:rPr>
          <w:b/>
          <w:bCs/>
          <w:sz w:val="24"/>
          <w:szCs w:val="24"/>
        </w:rPr>
      </w:pPr>
      <w:r>
        <w:rPr>
          <w:b/>
          <w:bCs/>
          <w:sz w:val="24"/>
          <w:szCs w:val="24"/>
        </w:rPr>
      </w:r>
    </w:p>
    <w:p>
      <w:pPr>
        <w:pStyle w:val="Normal"/>
        <w:tabs>
          <w:tab w:val="clear" w:pos="708"/>
          <w:tab w:val="right" w:pos="993" w:leader="none"/>
        </w:tabs>
        <w:spacing w:lineRule="auto" w:line="240"/>
        <w:ind w:hanging="0"/>
        <w:rPr>
          <w:bCs/>
          <w:sz w:val="24"/>
          <w:szCs w:val="24"/>
        </w:rPr>
      </w:pPr>
      <w:r>
        <w:rPr>
          <w:bCs/>
          <w:sz w:val="24"/>
          <w:szCs w:val="24"/>
        </w:rPr>
        <w:t>г. Благовещенск</w:t>
        <w:tab/>
        <w:tab/>
        <w:tab/>
        <w:tab/>
        <w:tab/>
        <w:tab/>
        <w:t xml:space="preserve">                        «___» _________ 20__ г.</w:t>
      </w:r>
    </w:p>
    <w:p>
      <w:pPr>
        <w:pStyle w:val="Normal"/>
        <w:tabs>
          <w:tab w:val="clear" w:pos="708"/>
          <w:tab w:val="right" w:pos="9639" w:leader="none"/>
        </w:tabs>
        <w:spacing w:lineRule="auto" w:line="240"/>
        <w:ind w:hanging="0"/>
        <w:rPr>
          <w:bCs/>
          <w:sz w:val="24"/>
          <w:szCs w:val="24"/>
        </w:rPr>
      </w:pPr>
      <w:r>
        <w:rPr>
          <w:bCs/>
          <w:sz w:val="24"/>
          <w:szCs w:val="24"/>
        </w:rPr>
      </w:r>
    </w:p>
    <w:p>
      <w:pPr>
        <w:pStyle w:val="Normal"/>
        <w:spacing w:lineRule="auto" w:line="240"/>
        <w:ind w:firstLine="708"/>
        <w:rPr>
          <w:sz w:val="24"/>
          <w:szCs w:val="24"/>
          <w:lang w:eastAsia="en-US"/>
        </w:rPr>
      </w:pPr>
      <w:r>
        <w:rPr>
          <w:b/>
          <w:sz w:val="24"/>
          <w:szCs w:val="24"/>
          <w:lang w:eastAsia="en-US"/>
        </w:rPr>
        <w:t>Акционерное общество «Дальневосточная генерирующая компания» (АО «ДГК»)</w:t>
      </w:r>
      <w:r>
        <w:rPr>
          <w:sz w:val="24"/>
          <w:szCs w:val="24"/>
          <w:lang w:eastAsia="en-US"/>
        </w:rPr>
        <w:t xml:space="preserve"> (далее – «Заказчик»), в лице директора структурного подразделения «Амурские тепловые сети» </w:t>
      </w:r>
      <w:r>
        <w:rPr>
          <w:sz w:val="24"/>
          <w:szCs w:val="24"/>
        </w:rPr>
        <w:t>________________________________________,действующего на основании _______________,</w:t>
      </w:r>
      <w:r>
        <w:rPr>
          <w:sz w:val="24"/>
          <w:szCs w:val="24"/>
          <w:lang w:eastAsia="en-US"/>
        </w:rPr>
        <w:t xml:space="preserve">с одной стороны, и </w:t>
      </w:r>
      <w:r>
        <w:rPr>
          <w:b/>
          <w:sz w:val="24"/>
          <w:szCs w:val="24"/>
          <w:lang w:eastAsia="en-US"/>
        </w:rPr>
        <w:t xml:space="preserve">                                                                 </w:t>
      </w:r>
      <w:r>
        <w:rPr>
          <w:sz w:val="24"/>
          <w:szCs w:val="24"/>
          <w:lang w:eastAsia="en-US"/>
        </w:rPr>
        <w:t xml:space="preserve"> (далее – «Подрядчик»), в лице </w:t>
      </w:r>
      <w:r>
        <w:rPr>
          <w:sz w:val="24"/>
          <w:szCs w:val="24"/>
          <w:u w:val="single"/>
          <w:lang w:eastAsia="en-US"/>
        </w:rPr>
        <w:t xml:space="preserve"> </w:t>
      </w:r>
      <w:r>
        <w:rPr>
          <w:sz w:val="24"/>
          <w:szCs w:val="24"/>
          <w:lang w:eastAsia="en-US"/>
        </w:rPr>
        <w:t>_________________________, действующего на основании  ___________________, с другой стороны, совместно в дальнейшем именуемые «Стороны», а по отдельности – «Сторона», по результатам проведенной Заказчиком конкурентной процедуры по лоту № ______________</w:t>
      </w:r>
      <w:r>
        <w:rPr>
          <w:bCs/>
          <w:sz w:val="24"/>
          <w:szCs w:val="24"/>
          <w:lang w:eastAsia="en-US"/>
        </w:rPr>
        <w:t>,</w:t>
      </w:r>
      <w:r>
        <w:rPr>
          <w:color w:val="0000FF"/>
          <w:sz w:val="24"/>
          <w:szCs w:val="24"/>
          <w:lang w:eastAsia="en-US"/>
        </w:rPr>
        <w:t xml:space="preserve"> </w:t>
      </w:r>
      <w:r>
        <w:rPr>
          <w:sz w:val="24"/>
          <w:szCs w:val="24"/>
          <w:lang w:eastAsia="en-US"/>
        </w:rPr>
        <w:t>и</w:t>
      </w:r>
      <w:r>
        <w:rPr>
          <w:color w:val="0000FF"/>
          <w:sz w:val="24"/>
          <w:szCs w:val="24"/>
          <w:lang w:eastAsia="en-US"/>
        </w:rPr>
        <w:t xml:space="preserve"> </w:t>
      </w:r>
      <w:r>
        <w:rPr>
          <w:bCs/>
          <w:sz w:val="24"/>
          <w:szCs w:val="24"/>
          <w:lang w:eastAsia="en-US"/>
        </w:rPr>
        <w:t xml:space="preserve">на основании Протокола о результатах подведения, итогов закупки № ____ от «___» _____ 20__ года, </w:t>
      </w:r>
      <w:r>
        <w:rPr>
          <w:sz w:val="24"/>
          <w:szCs w:val="24"/>
          <w:lang w:eastAsia="en-US"/>
        </w:rPr>
        <w:t>заключили настоящий договор (далее – «Договор») о нижеследующем:</w:t>
      </w:r>
    </w:p>
    <w:p>
      <w:pPr>
        <w:pStyle w:val="ListParagraph"/>
        <w:tabs>
          <w:tab w:val="clear" w:pos="708"/>
          <w:tab w:val="left" w:pos="284" w:leader="none"/>
        </w:tabs>
        <w:ind w:hanging="0" w:left="0"/>
        <w:rPr>
          <w:b/>
          <w:bCs/>
        </w:rPr>
      </w:pPr>
      <w:r>
        <w:rPr>
          <w:b/>
          <w:bCs/>
        </w:rPr>
      </w:r>
    </w:p>
    <w:p>
      <w:pPr>
        <w:pStyle w:val="ListParagraph"/>
        <w:tabs>
          <w:tab w:val="clear" w:pos="708"/>
          <w:tab w:val="left" w:pos="284" w:leader="none"/>
        </w:tabs>
        <w:ind w:hanging="0" w:left="0"/>
        <w:jc w:val="center"/>
        <w:rPr>
          <w:b/>
          <w:bCs/>
        </w:rPr>
      </w:pPr>
      <w:r>
        <w:rPr>
          <w:b/>
          <w:bCs/>
        </w:rPr>
        <w:t>Термины и определения</w:t>
      </w:r>
    </w:p>
    <w:p>
      <w:pPr>
        <w:pStyle w:val="ListParagraph"/>
        <w:tabs>
          <w:tab w:val="clear" w:pos="708"/>
          <w:tab w:val="left" w:pos="284" w:leader="none"/>
        </w:tabs>
        <w:ind w:hanging="0" w:left="0"/>
        <w:jc w:val="center"/>
        <w:rPr>
          <w:b/>
          <w:bCs/>
        </w:rPr>
      </w:pPr>
      <w:r>
        <w:rPr>
          <w:b/>
          <w:bCs/>
        </w:rPr>
      </w:r>
    </w:p>
    <w:p>
      <w:pPr>
        <w:pStyle w:val="BodyText3"/>
        <w:ind w:firstLine="708"/>
        <w:rPr>
          <w:color w:val="auto"/>
        </w:rPr>
      </w:pPr>
      <w:r>
        <w:rPr>
          <w:color w:val="auto"/>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pPr>
        <w:pStyle w:val="ListParagraph"/>
        <w:widowControl w:val="false"/>
        <w:ind w:firstLine="708" w:left="0"/>
        <w:jc w:val="both"/>
        <w:rPr>
          <w:lang w:eastAsia="en-US"/>
        </w:rPr>
      </w:pPr>
      <w:r>
        <w:rPr>
          <w:b/>
          <w:lang w:eastAsia="en-US"/>
        </w:rPr>
        <w:t xml:space="preserve">«Акт КС-2», «Справка КС-3» – </w:t>
      </w:r>
      <w:r>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утвержденные подрядчиком.</w:t>
      </w:r>
    </w:p>
    <w:p>
      <w:pPr>
        <w:pStyle w:val="ListParagraph"/>
        <w:widowControl w:val="false"/>
        <w:ind w:firstLine="708" w:left="0"/>
        <w:jc w:val="both"/>
        <w:rPr>
          <w:lang w:eastAsia="en-US"/>
        </w:rPr>
      </w:pPr>
      <w:r>
        <w:rPr>
          <w:b/>
          <w:lang w:eastAsia="en-US"/>
        </w:rPr>
        <w:t>«Акт КС-11»</w:t>
      </w:r>
      <w:r>
        <w:rPr>
          <w:lang w:eastAsia="en-US"/>
        </w:rPr>
        <w:t>– документ, оформляемый по унифицированным формам №№ КС-11 «Акт приемки законченного строительством объекта»</w:t>
      </w:r>
      <w:r>
        <w:rPr/>
        <w:t>, утвержденный Учетной политикой АО «ДГК»</w:t>
      </w:r>
      <w:r>
        <w:rPr>
          <w:lang w:eastAsia="en-US"/>
        </w:rPr>
        <w:t>, подписываемые Сторонами по окончании всех Работ по Объекту, предусмотренных Договором.</w:t>
      </w:r>
    </w:p>
    <w:p>
      <w:pPr>
        <w:pStyle w:val="ListParagraph"/>
        <w:ind w:firstLine="708" w:left="0"/>
        <w:jc w:val="both"/>
        <w:rPr>
          <w:lang w:eastAsia="en-US"/>
        </w:rPr>
      </w:pPr>
      <w:r>
        <w:rPr>
          <w:b/>
          <w:lang w:eastAsia="en-US"/>
        </w:rPr>
        <w:t xml:space="preserve"> </w:t>
      </w:r>
      <w:r>
        <w:rPr>
          <w:b/>
          <w:lang w:eastAsia="en-US"/>
        </w:rPr>
        <w:t>«Акт освидетельствования выполненных работ»</w:t>
      </w:r>
      <w:r>
        <w:rPr>
          <w:lang w:eastAsia="en-US"/>
        </w:rPr>
        <w:t xml:space="preserve"> – документ, оформляемый по форме, установленной Договором, подписываемый Сторонами по завершении работ по завершению выполнения промежуточных (ежемесячных) объемов Работ, предусмотренных Договором. </w:t>
      </w:r>
    </w:p>
    <w:p>
      <w:pPr>
        <w:pStyle w:val="ListParagraph"/>
        <w:ind w:firstLine="708" w:left="0"/>
        <w:jc w:val="both"/>
        <w:rPr>
          <w:lang w:eastAsia="en-US"/>
        </w:rPr>
      </w:pPr>
      <w:r>
        <w:rPr>
          <w:lang w:eastAsia="en-US"/>
        </w:rPr>
        <w:t>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Работ (пункт 3 статьи 753 ГК РФ), и его подписание не освобождает Подрядчика от ответственности за выявленные недостатки, несоответствия и / или дефекты в результатах выполненных Работ.</w:t>
      </w:r>
    </w:p>
    <w:p>
      <w:pPr>
        <w:pStyle w:val="ListParagraph"/>
        <w:widowControl w:val="false"/>
        <w:tabs>
          <w:tab w:val="clear" w:pos="708"/>
          <w:tab w:val="left" w:pos="567" w:leader="none"/>
          <w:tab w:val="left" w:pos="1134" w:leader="none"/>
        </w:tabs>
        <w:ind w:firstLine="708" w:left="0"/>
        <w:jc w:val="both"/>
        <w:rPr>
          <w:lang w:eastAsia="en-US"/>
        </w:rPr>
      </w:pPr>
      <w:r>
        <w:rPr>
          <w:b/>
          <w:lang w:eastAsia="en-US"/>
        </w:rPr>
        <w:t xml:space="preserve"> </w:t>
      </w:r>
      <w:r>
        <w:rPr>
          <w:b/>
          <w:lang w:eastAsia="en-US"/>
        </w:rPr>
        <w:t>«Гарантийный срок»</w:t>
      </w:r>
      <w:r>
        <w:rPr/>
        <w:t xml:space="preserve"> </w:t>
      </w:r>
      <w:r>
        <w:rPr>
          <w:lang w:eastAsia="en-US"/>
        </w:rPr>
        <w:t>– период, в течение которого качество выполненных Работ и использованных Материально-технических ресурсов и оборудования должно соответствовать требованиям Договора, Рабочей документации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pPr>
        <w:pStyle w:val="ListParagraph"/>
        <w:widowControl w:val="false"/>
        <w:tabs>
          <w:tab w:val="clear" w:pos="708"/>
          <w:tab w:val="left" w:pos="567" w:leader="none"/>
          <w:tab w:val="left" w:pos="1134" w:leader="none"/>
        </w:tabs>
        <w:ind w:firstLine="708" w:left="0"/>
        <w:jc w:val="both"/>
        <w:rPr>
          <w:lang w:eastAsia="en-US"/>
        </w:rPr>
      </w:pPr>
      <w:r>
        <w:rPr>
          <w:b/>
          <w:lang w:eastAsia="en-US"/>
        </w:rPr>
        <w:t>«Договор»</w:t>
      </w:r>
      <w:r>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pPr>
        <w:pStyle w:val="ListParagraph"/>
        <w:widowControl w:val="false"/>
        <w:tabs>
          <w:tab w:val="clear" w:pos="708"/>
          <w:tab w:val="left" w:pos="567" w:leader="none"/>
          <w:tab w:val="left" w:pos="1134" w:leader="none"/>
        </w:tabs>
        <w:ind w:firstLine="708" w:left="0"/>
        <w:jc w:val="both"/>
        <w:rPr>
          <w:lang w:eastAsia="en-US"/>
        </w:rPr>
      </w:pPr>
      <w:r>
        <w:rPr>
          <w:b/>
          <w:lang w:eastAsia="en-US"/>
        </w:rPr>
        <w:t>«Исполнительн</w:t>
      </w:r>
      <w:bookmarkStart w:id="0" w:name="OCRUncertain148"/>
      <w:r>
        <w:rPr>
          <w:b/>
          <w:lang w:eastAsia="en-US"/>
        </w:rPr>
        <w:t>а</w:t>
      </w:r>
      <w:bookmarkEnd w:id="0"/>
      <w:r>
        <w:rPr>
          <w:b/>
          <w:lang w:eastAsia="en-US"/>
        </w:rPr>
        <w:t>я док</w:t>
      </w:r>
      <w:bookmarkStart w:id="1" w:name="OCRUncertain149"/>
      <w:r>
        <w:rPr>
          <w:b/>
          <w:lang w:eastAsia="en-US"/>
        </w:rPr>
        <w:t>у</w:t>
      </w:r>
      <w:bookmarkEnd w:id="1"/>
      <w:r>
        <w:rPr>
          <w:b/>
          <w:lang w:eastAsia="en-US"/>
        </w:rPr>
        <w:t>м</w:t>
      </w:r>
      <w:bookmarkStart w:id="2" w:name="OCRUncertain150"/>
      <w:r>
        <w:rPr>
          <w:b/>
          <w:lang w:eastAsia="en-US"/>
        </w:rPr>
        <w:t>е</w:t>
      </w:r>
      <w:bookmarkEnd w:id="2"/>
      <w:r>
        <w:rPr>
          <w:b/>
          <w:lang w:eastAsia="en-US"/>
        </w:rPr>
        <w:t>нтац</w:t>
      </w:r>
      <w:bookmarkStart w:id="3" w:name="OCRUncertain151"/>
      <w:r>
        <w:rPr>
          <w:b/>
          <w:lang w:eastAsia="en-US"/>
        </w:rPr>
        <w:t>и</w:t>
      </w:r>
      <w:bookmarkEnd w:id="3"/>
      <w:r>
        <w:rPr>
          <w:b/>
          <w:lang w:eastAsia="en-US"/>
        </w:rPr>
        <w:t xml:space="preserve">я» </w:t>
      </w:r>
      <w:r>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Pr/>
        <w:t xml:space="preserve"> </w:t>
      </w:r>
      <w:r>
        <w:rPr>
          <w:lang w:eastAsia="en-US"/>
        </w:rPr>
        <w:t xml:space="preserve">техническое состояние Объекта, а также фактическое исполнение проектных решений в процессе выполнения Работ по Договору. </w:t>
      </w:r>
    </w:p>
    <w:p>
      <w:pPr>
        <w:pStyle w:val="ListParagraph"/>
        <w:widowControl w:val="false"/>
        <w:tabs>
          <w:tab w:val="clear" w:pos="708"/>
          <w:tab w:val="left" w:pos="567" w:leader="none"/>
          <w:tab w:val="left" w:pos="1134" w:leader="none"/>
        </w:tabs>
        <w:ind w:firstLine="708" w:left="0"/>
        <w:jc w:val="both"/>
        <w:rPr>
          <w:lang w:eastAsia="en-US"/>
        </w:rPr>
      </w:pPr>
      <w:r>
        <w:rPr>
          <w:lang w:eastAsia="en-US"/>
        </w:rPr>
        <w:t>К исполнительной документации относятся:</w:t>
      </w:r>
    </w:p>
    <w:p>
      <w:pPr>
        <w:pStyle w:val="ListParagraph"/>
        <w:widowControl w:val="false"/>
        <w:numPr>
          <w:ilvl w:val="0"/>
          <w:numId w:val="6"/>
        </w:numPr>
        <w:tabs>
          <w:tab w:val="clear" w:pos="708"/>
          <w:tab w:val="left" w:pos="567" w:leader="none"/>
          <w:tab w:val="left" w:pos="1134" w:leader="none"/>
        </w:tabs>
        <w:ind w:firstLine="709" w:left="0"/>
        <w:jc w:val="both"/>
        <w:rPr>
          <w:lang w:eastAsia="en-US"/>
        </w:rPr>
      </w:pPr>
      <w:r>
        <w:rPr>
          <w:lang w:eastAsia="en-US"/>
        </w:rPr>
        <w:t>Акты приемки геодезической разбивочной основы;</w:t>
      </w:r>
    </w:p>
    <w:p>
      <w:pPr>
        <w:pStyle w:val="ListParagraph"/>
        <w:widowControl w:val="false"/>
        <w:numPr>
          <w:ilvl w:val="0"/>
          <w:numId w:val="6"/>
        </w:numPr>
        <w:tabs>
          <w:tab w:val="clear" w:pos="708"/>
          <w:tab w:val="left" w:pos="567" w:leader="none"/>
          <w:tab w:val="left" w:pos="1134" w:leader="none"/>
        </w:tabs>
        <w:ind w:firstLine="709" w:left="0"/>
        <w:jc w:val="both"/>
        <w:rPr>
          <w:lang w:eastAsia="en-US"/>
        </w:rPr>
      </w:pPr>
      <w:r>
        <w:rPr>
          <w:lang w:eastAsia="en-US"/>
        </w:rPr>
        <w:t>Исполнительные геодезические схемы возведенных конструкций, элементов и частей зданий, сооружений;</w:t>
      </w:r>
    </w:p>
    <w:p>
      <w:pPr>
        <w:pStyle w:val="ListParagraph"/>
        <w:widowControl w:val="false"/>
        <w:numPr>
          <w:ilvl w:val="0"/>
          <w:numId w:val="6"/>
        </w:numPr>
        <w:tabs>
          <w:tab w:val="clear" w:pos="708"/>
          <w:tab w:val="left" w:pos="567" w:leader="none"/>
          <w:tab w:val="left" w:pos="1134" w:leader="none"/>
        </w:tabs>
        <w:ind w:firstLine="709" w:left="0"/>
        <w:jc w:val="both"/>
        <w:rPr>
          <w:lang w:eastAsia="en-US"/>
        </w:rPr>
      </w:pPr>
      <w:r>
        <w:rPr>
          <w:lang w:eastAsia="en-US"/>
        </w:rPr>
        <w:t>Исполнительные схемы и профили инженерных сетей и подземных сооружений;</w:t>
      </w:r>
    </w:p>
    <w:p>
      <w:pPr>
        <w:pStyle w:val="ListParagraph"/>
        <w:widowControl w:val="false"/>
        <w:numPr>
          <w:ilvl w:val="0"/>
          <w:numId w:val="6"/>
        </w:numPr>
        <w:tabs>
          <w:tab w:val="clear" w:pos="708"/>
          <w:tab w:val="left" w:pos="567" w:leader="none"/>
          <w:tab w:val="left" w:pos="1134" w:leader="none"/>
        </w:tabs>
        <w:ind w:firstLine="709" w:left="0"/>
        <w:jc w:val="both"/>
        <w:rPr>
          <w:lang w:eastAsia="en-US"/>
        </w:rPr>
      </w:pPr>
      <w:r>
        <w:rPr>
          <w:lang w:eastAsia="en-US"/>
        </w:rPr>
        <w:t>Общий журнал работ</w:t>
      </w:r>
      <w:r>
        <w:rPr>
          <w:lang w:val="en-US" w:eastAsia="en-US"/>
        </w:rPr>
        <w:t>;</w:t>
      </w:r>
    </w:p>
    <w:p>
      <w:pPr>
        <w:pStyle w:val="ListParagraph"/>
        <w:widowControl w:val="false"/>
        <w:numPr>
          <w:ilvl w:val="0"/>
          <w:numId w:val="6"/>
        </w:numPr>
        <w:tabs>
          <w:tab w:val="clear" w:pos="708"/>
          <w:tab w:val="left" w:pos="567" w:leader="none"/>
          <w:tab w:val="left" w:pos="1134" w:leader="none"/>
        </w:tabs>
        <w:ind w:firstLine="709" w:left="0"/>
        <w:jc w:val="both"/>
        <w:rPr>
          <w:lang w:eastAsia="en-US"/>
        </w:rPr>
      </w:pPr>
      <w:r>
        <w:rPr>
          <w:lang w:eastAsia="en-US"/>
        </w:rPr>
        <w:t>Специальные журналы работ (соответствующие видам выполняемых работ), журналы входного и операционного контроля качества;</w:t>
      </w:r>
    </w:p>
    <w:p>
      <w:pPr>
        <w:pStyle w:val="ListParagraph"/>
        <w:widowControl w:val="false"/>
        <w:numPr>
          <w:ilvl w:val="0"/>
          <w:numId w:val="6"/>
        </w:numPr>
        <w:tabs>
          <w:tab w:val="clear" w:pos="708"/>
          <w:tab w:val="left" w:pos="567" w:leader="none"/>
          <w:tab w:val="left" w:pos="1134" w:leader="none"/>
        </w:tabs>
        <w:ind w:firstLine="709" w:left="0"/>
        <w:jc w:val="both"/>
        <w:rPr>
          <w:lang w:eastAsia="en-US"/>
        </w:rPr>
      </w:pPr>
      <w:r>
        <w:rPr>
          <w:lang w:eastAsia="en-US"/>
        </w:rPr>
        <w:t>Журнал авторского надзора проектных организаций (при наличии авторского надзора);</w:t>
      </w:r>
    </w:p>
    <w:p>
      <w:pPr>
        <w:pStyle w:val="ListParagraph"/>
        <w:widowControl w:val="false"/>
        <w:numPr>
          <w:ilvl w:val="0"/>
          <w:numId w:val="6"/>
        </w:numPr>
        <w:tabs>
          <w:tab w:val="clear" w:pos="708"/>
          <w:tab w:val="left" w:pos="567" w:leader="none"/>
          <w:tab w:val="left" w:pos="1134" w:leader="none"/>
        </w:tabs>
        <w:ind w:firstLine="709" w:left="0"/>
        <w:jc w:val="both"/>
        <w:rPr>
          <w:lang w:eastAsia="en-US"/>
        </w:rPr>
      </w:pPr>
      <w:r>
        <w:rPr>
          <w:lang w:eastAsia="en-US"/>
        </w:rPr>
        <w:t>Акты освидетельствования скрытых работ</w:t>
      </w:r>
      <w:r>
        <w:rPr>
          <w:lang w:val="en-US" w:eastAsia="en-US"/>
        </w:rPr>
        <w:t>;</w:t>
      </w:r>
    </w:p>
    <w:p>
      <w:pPr>
        <w:pStyle w:val="ListParagraph"/>
        <w:widowControl w:val="false"/>
        <w:numPr>
          <w:ilvl w:val="0"/>
          <w:numId w:val="6"/>
        </w:numPr>
        <w:tabs>
          <w:tab w:val="clear" w:pos="708"/>
          <w:tab w:val="left" w:pos="567" w:leader="none"/>
          <w:tab w:val="left" w:pos="1134" w:leader="none"/>
        </w:tabs>
        <w:ind w:firstLine="709" w:left="0"/>
        <w:jc w:val="both"/>
        <w:rPr>
          <w:lang w:eastAsia="en-US"/>
        </w:rPr>
      </w:pPr>
      <w:r>
        <w:rPr>
          <w:lang w:eastAsia="en-US"/>
        </w:rPr>
        <w:t>Акты промежуточной приемки ответственных конструкций;</w:t>
      </w:r>
    </w:p>
    <w:p>
      <w:pPr>
        <w:pStyle w:val="ListParagraph"/>
        <w:widowControl w:val="false"/>
        <w:numPr>
          <w:ilvl w:val="0"/>
          <w:numId w:val="6"/>
        </w:numPr>
        <w:tabs>
          <w:tab w:val="clear" w:pos="708"/>
          <w:tab w:val="left" w:pos="567" w:leader="none"/>
          <w:tab w:val="left" w:pos="1134" w:leader="none"/>
        </w:tabs>
        <w:ind w:firstLine="709" w:left="0"/>
        <w:jc w:val="both"/>
        <w:rPr>
          <w:lang w:eastAsia="en-US"/>
        </w:rPr>
      </w:pPr>
      <w:r>
        <w:rPr>
          <w:lang w:eastAsia="en-US"/>
        </w:rPr>
        <w:t>Акты испытаний и опробования оборудования, систем и устройств;</w:t>
      </w:r>
    </w:p>
    <w:p>
      <w:pPr>
        <w:pStyle w:val="ListParagraph"/>
        <w:widowControl w:val="false"/>
        <w:numPr>
          <w:ilvl w:val="0"/>
          <w:numId w:val="6"/>
        </w:numPr>
        <w:tabs>
          <w:tab w:val="clear" w:pos="708"/>
          <w:tab w:val="left" w:pos="567" w:leader="none"/>
          <w:tab w:val="left" w:pos="1134" w:leader="none"/>
        </w:tabs>
        <w:ind w:firstLine="709" w:left="0"/>
        <w:jc w:val="both"/>
        <w:rPr>
          <w:lang w:eastAsia="en-US"/>
        </w:rPr>
      </w:pPr>
      <w:r>
        <w:rPr>
          <w:lang w:eastAsia="en-US"/>
        </w:rPr>
        <w:t>Результаты экспертиз, обследований в ходе выполнения работ;</w:t>
      </w:r>
    </w:p>
    <w:p>
      <w:pPr>
        <w:pStyle w:val="ListParagraph"/>
        <w:widowControl w:val="false"/>
        <w:numPr>
          <w:ilvl w:val="0"/>
          <w:numId w:val="6"/>
        </w:numPr>
        <w:tabs>
          <w:tab w:val="clear" w:pos="708"/>
          <w:tab w:val="left" w:pos="567" w:leader="none"/>
          <w:tab w:val="left" w:pos="1134" w:leader="none"/>
        </w:tabs>
        <w:ind w:firstLine="709" w:left="0"/>
        <w:jc w:val="both"/>
        <w:rPr>
          <w:lang w:eastAsia="en-US"/>
        </w:rPr>
      </w:pPr>
      <w:r>
        <w:rPr>
          <w:lang w:eastAsia="en-US"/>
        </w:rPr>
        <w:t>Акты приемки инженерных систем</w:t>
      </w:r>
      <w:r>
        <w:rPr>
          <w:lang w:val="en-US" w:eastAsia="en-US"/>
        </w:rPr>
        <w:t>;</w:t>
      </w:r>
    </w:p>
    <w:p>
      <w:pPr>
        <w:pStyle w:val="ListParagraph"/>
        <w:widowControl w:val="false"/>
        <w:numPr>
          <w:ilvl w:val="0"/>
          <w:numId w:val="6"/>
        </w:numPr>
        <w:tabs>
          <w:tab w:val="clear" w:pos="708"/>
          <w:tab w:val="left" w:pos="567" w:leader="none"/>
          <w:tab w:val="left" w:pos="1134" w:leader="none"/>
        </w:tabs>
        <w:ind w:firstLine="709" w:left="0"/>
        <w:jc w:val="both"/>
        <w:rPr>
          <w:lang w:eastAsia="en-US"/>
        </w:rPr>
      </w:pPr>
      <w:r>
        <w:rPr>
          <w:lang w:eastAsia="en-US"/>
        </w:rPr>
        <w:t>Исполнительные схемы расположения зданий, сооружений на местности (посадки);</w:t>
      </w:r>
    </w:p>
    <w:p>
      <w:pPr>
        <w:pStyle w:val="ListParagraph"/>
        <w:widowControl w:val="false"/>
        <w:numPr>
          <w:ilvl w:val="0"/>
          <w:numId w:val="6"/>
        </w:numPr>
        <w:tabs>
          <w:tab w:val="clear" w:pos="708"/>
          <w:tab w:val="left" w:pos="567" w:leader="none"/>
          <w:tab w:val="left" w:pos="1134" w:leader="none"/>
        </w:tabs>
        <w:ind w:firstLine="709" w:left="0"/>
        <w:jc w:val="both"/>
        <w:rPr>
          <w:lang w:eastAsia="en-US"/>
        </w:rPr>
      </w:pPr>
      <w:r>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pPr>
        <w:pStyle w:val="ListParagraph"/>
        <w:widowControl w:val="false"/>
        <w:numPr>
          <w:ilvl w:val="0"/>
          <w:numId w:val="6"/>
        </w:numPr>
        <w:tabs>
          <w:tab w:val="clear" w:pos="708"/>
          <w:tab w:val="left" w:pos="567" w:leader="none"/>
          <w:tab w:val="left" w:pos="1134" w:leader="none"/>
        </w:tabs>
        <w:ind w:firstLine="709" w:left="0"/>
        <w:jc w:val="both"/>
        <w:rPr>
          <w:lang w:eastAsia="en-US"/>
        </w:rPr>
      </w:pPr>
      <w:r>
        <w:rPr>
          <w:lang w:eastAsia="en-US"/>
        </w:rPr>
        <w:t>другие документы по усмотрению Сторон с учетом специфики Работ.</w:t>
      </w:r>
    </w:p>
    <w:p>
      <w:pPr>
        <w:pStyle w:val="ListParagraph"/>
        <w:widowControl w:val="false"/>
        <w:tabs>
          <w:tab w:val="clear" w:pos="708"/>
          <w:tab w:val="left" w:pos="567" w:leader="none"/>
          <w:tab w:val="left" w:pos="1134" w:leader="none"/>
        </w:tabs>
        <w:ind w:firstLine="709" w:left="0"/>
        <w:jc w:val="both"/>
        <w:rPr>
          <w:lang w:eastAsia="en-US"/>
        </w:rPr>
      </w:pPr>
      <w:r>
        <w:rPr>
          <w:lang w:eastAsia="en-US"/>
        </w:rPr>
        <w:t>Исполнительная документация предъявляется Подрядчиком при освидетельствовании выполненных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pPr>
        <w:pStyle w:val="ListParagraph"/>
        <w:widowControl w:val="false"/>
        <w:tabs>
          <w:tab w:val="clear" w:pos="708"/>
          <w:tab w:val="left" w:pos="567" w:leader="none"/>
          <w:tab w:val="left" w:pos="1134" w:leader="none"/>
        </w:tabs>
        <w:ind w:firstLine="708" w:left="0"/>
        <w:jc w:val="both"/>
        <w:rPr>
          <w:lang w:eastAsia="en-US"/>
        </w:rPr>
      </w:pPr>
      <w:r>
        <w:rPr>
          <w:b/>
          <w:lang w:eastAsia="en-US"/>
        </w:rPr>
        <w:t>«Коммерческая тайна»</w:t>
      </w:r>
      <w:r>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pPr>
        <w:pStyle w:val="ListParagraph"/>
        <w:widowControl w:val="false"/>
        <w:tabs>
          <w:tab w:val="clear" w:pos="708"/>
          <w:tab w:val="left" w:pos="567" w:leader="none"/>
          <w:tab w:val="left" w:pos="1134" w:leader="none"/>
        </w:tabs>
        <w:ind w:firstLine="708" w:left="0"/>
        <w:jc w:val="both"/>
        <w:rPr>
          <w:lang w:eastAsia="en-US"/>
        </w:rPr>
      </w:pPr>
      <w:r>
        <w:rPr>
          <w:b/>
          <w:lang w:eastAsia="en-US"/>
        </w:rPr>
        <w:t>«Лимит на непредвиденные работы и затраты»</w:t>
      </w:r>
      <w:r>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уточнения проектных решений и / или условий выполнения Работ.</w:t>
      </w:r>
    </w:p>
    <w:p>
      <w:pPr>
        <w:pStyle w:val="ListParagraph"/>
        <w:widowControl w:val="false"/>
        <w:tabs>
          <w:tab w:val="clear" w:pos="708"/>
          <w:tab w:val="left" w:pos="567" w:leader="none"/>
          <w:tab w:val="left" w:pos="1134" w:leader="none"/>
        </w:tabs>
        <w:ind w:firstLine="708" w:left="0"/>
        <w:jc w:val="both"/>
        <w:rPr>
          <w:lang w:eastAsia="en-US"/>
        </w:rPr>
      </w:pPr>
      <w:r>
        <w:rPr>
          <w:b/>
          <w:lang w:eastAsia="en-US"/>
        </w:rPr>
        <w:t>«Материально-технические ресурсы и оборудование»</w:t>
      </w:r>
      <w:r>
        <w:rPr>
          <w:lang w:eastAsia="en-US"/>
        </w:rPr>
        <w:t xml:space="preserve"> – всевозможные материалы, запасные части, оборудование, 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и последующей нормальной и надежной эксплуатации Объекта.</w:t>
      </w:r>
    </w:p>
    <w:p>
      <w:pPr>
        <w:pStyle w:val="Normal"/>
        <w:spacing w:lineRule="auto" w:line="276"/>
        <w:ind w:firstLine="709"/>
        <w:rPr>
          <w:sz w:val="24"/>
        </w:rPr>
      </w:pPr>
      <w:r>
        <w:rPr>
          <w:b/>
          <w:sz w:val="24"/>
        </w:rPr>
        <w:t xml:space="preserve">«Независимая гарантия» - </w:t>
      </w:r>
      <w:r>
        <w:rPr>
          <w:sz w:val="24"/>
        </w:rPr>
        <w:t>гарантия, предоставляемая субъектом МСП в обеспечение надлежащего исполнения Договоров, заключенных по результатам конкурентной закупки товаров, работ, услуг в электронной форме только среди МСП.</w:t>
      </w:r>
    </w:p>
    <w:p>
      <w:pPr>
        <w:pStyle w:val="ListParagraph"/>
        <w:widowControl w:val="false"/>
        <w:tabs>
          <w:tab w:val="clear" w:pos="708"/>
          <w:tab w:val="left" w:pos="567" w:leader="none"/>
          <w:tab w:val="left" w:pos="1134" w:leader="none"/>
        </w:tabs>
        <w:ind w:firstLine="708" w:left="0"/>
        <w:jc w:val="both"/>
        <w:rPr>
          <w:lang w:eastAsia="en-US"/>
        </w:rPr>
      </w:pPr>
      <w:r>
        <w:rPr>
          <w:b/>
          <w:lang w:eastAsia="en-US"/>
        </w:rPr>
        <w:t>«Обеспечительный платеж»</w:t>
      </w:r>
      <w:r>
        <w:rPr>
          <w:lang w:eastAsia="en-US"/>
        </w:rPr>
        <w:t xml:space="preserve"> – платеж в размере 5 % (десять процентов) от Цены Договора или стоимости Работ по соответствующему Объекту, который удерживается Заказчиком в качестве гарантийного резервирования в случае непредставления Подрядчиком Независимой гарантии надлежащего исполнения Договора в соответствии с требованиями, установленными Договором. </w:t>
      </w:r>
    </w:p>
    <w:p>
      <w:pPr>
        <w:pStyle w:val="ListParagraph"/>
        <w:widowControl w:val="false"/>
        <w:tabs>
          <w:tab w:val="clear" w:pos="708"/>
          <w:tab w:val="left" w:pos="567" w:leader="none"/>
          <w:tab w:val="left" w:pos="1134" w:leader="none"/>
        </w:tabs>
        <w:spacing w:lineRule="atLeast" w:line="21"/>
        <w:ind w:firstLine="708" w:left="0"/>
        <w:jc w:val="both"/>
        <w:rPr>
          <w:highlight w:val="none"/>
          <w:lang w:eastAsia="en-US"/>
        </w:rPr>
      </w:pPr>
      <w:r>
        <w:rPr>
          <w:b/>
          <w:lang w:eastAsia="en-US"/>
        </w:rPr>
        <w:t>«Объект»</w:t>
      </w:r>
      <w:r>
        <w:rPr>
          <w:lang w:eastAsia="en-US"/>
        </w:rPr>
        <w:t xml:space="preserve"> – объект основных средств Заказчика, в отношении которого целесообразна/ необходима самостоятельная приемка, опробование и эксплуатация. </w:t>
      </w:r>
    </w:p>
    <w:p>
      <w:pPr>
        <w:pStyle w:val="ListParagraph"/>
        <w:widowControl w:val="false"/>
        <w:tabs>
          <w:tab w:val="clear" w:pos="708"/>
          <w:tab w:val="left" w:pos="567" w:leader="none"/>
          <w:tab w:val="left" w:pos="1134" w:leader="none"/>
        </w:tabs>
        <w:spacing w:lineRule="atLeast" w:line="21"/>
        <w:ind w:firstLine="708" w:left="0"/>
        <w:jc w:val="both"/>
        <w:rPr>
          <w:highlight w:val="none"/>
          <w:lang w:eastAsia="en-US"/>
        </w:rPr>
      </w:pPr>
      <w:r>
        <w:rPr>
          <w:sz w:val="24"/>
          <w:szCs w:val="24"/>
          <w:lang w:eastAsia="en-US"/>
        </w:rPr>
        <w:t>Тепловые сети и</w:t>
      </w:r>
      <w:r>
        <w:rPr>
          <w:b w:val="false"/>
          <w:i w:val="false"/>
          <w:caps w:val="false"/>
          <w:smallCaps w:val="false"/>
          <w:color w:val="212121"/>
          <w:spacing w:val="0"/>
          <w:sz w:val="24"/>
          <w:szCs w:val="24"/>
          <w:lang w:eastAsia="en-US"/>
        </w:rPr>
        <w:t>нв.  №0АО000000000000000017 (участок тепловой сети -от ТУ59 до участка за проезжей частью ул. Шоссейная, участок тепловой сети- от ТУ1 «Механический завод» до компенсатора ТУ2).</w:t>
      </w:r>
    </w:p>
    <w:p>
      <w:pPr>
        <w:pStyle w:val="ListParagraph"/>
        <w:widowControl w:val="false"/>
        <w:tabs>
          <w:tab w:val="clear" w:pos="708"/>
          <w:tab w:val="left" w:pos="567" w:leader="none"/>
          <w:tab w:val="left" w:pos="1134" w:leader="none"/>
        </w:tabs>
        <w:ind w:firstLine="708" w:left="0"/>
        <w:jc w:val="both"/>
        <w:rPr>
          <w:lang w:eastAsia="en-US"/>
        </w:rPr>
      </w:pPr>
      <w:r>
        <w:rPr>
          <w:b/>
          <w:lang w:eastAsia="en-US"/>
        </w:rPr>
        <w:t xml:space="preserve">«Отказ от Договора» </w:t>
      </w:r>
      <w:r>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pPr>
        <w:pStyle w:val="Heading3"/>
        <w:keepNext w:val="false"/>
        <w:widowControl w:val="false"/>
        <w:tabs>
          <w:tab w:val="clear" w:pos="708"/>
          <w:tab w:val="left" w:pos="567" w:leader="none"/>
        </w:tabs>
        <w:spacing w:before="0" w:after="0"/>
        <w:ind w:firstLine="708"/>
        <w:jc w:val="both"/>
        <w:rPr>
          <w:b w:val="false"/>
          <w:sz w:val="24"/>
          <w:szCs w:val="24"/>
          <w:lang w:eastAsia="en-US"/>
        </w:rPr>
      </w:pPr>
      <w:r>
        <w:rPr>
          <w:sz w:val="24"/>
          <w:szCs w:val="24"/>
          <w:lang w:eastAsia="en-US"/>
        </w:rPr>
        <w:t>«Применимое право»</w:t>
      </w:r>
      <w:r>
        <w:rPr>
          <w:b w:val="false"/>
          <w:sz w:val="24"/>
          <w:szCs w:val="24"/>
          <w:lang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и Объекту.</w:t>
      </w:r>
    </w:p>
    <w:p>
      <w:pPr>
        <w:pStyle w:val="ListParagraph"/>
        <w:widowControl w:val="false"/>
        <w:tabs>
          <w:tab w:val="clear" w:pos="708"/>
          <w:tab w:val="left" w:pos="567" w:leader="none"/>
          <w:tab w:val="left" w:pos="1134" w:leader="none"/>
        </w:tabs>
        <w:ind w:firstLine="708" w:left="0"/>
        <w:jc w:val="both"/>
        <w:rPr>
          <w:lang w:eastAsia="en-US"/>
        </w:rPr>
      </w:pPr>
      <w:r>
        <w:rPr>
          <w:b/>
          <w:lang w:eastAsia="en-US"/>
        </w:rPr>
        <w:t>«Приемо-сдаточная документация»</w:t>
      </w:r>
      <w:r>
        <w:rPr>
          <w:lang w:eastAsia="en-US"/>
        </w:rPr>
        <w:t xml:space="preserve"> – документация, оформляемая Подрядчиком на заключительном этапе выполнения Работ по соответствующему Объекту. </w:t>
      </w:r>
    </w:p>
    <w:p>
      <w:pPr>
        <w:pStyle w:val="ListParagraph"/>
        <w:widowControl w:val="false"/>
        <w:tabs>
          <w:tab w:val="clear" w:pos="708"/>
          <w:tab w:val="left" w:pos="567" w:leader="none"/>
          <w:tab w:val="left" w:pos="1134" w:leader="none"/>
        </w:tabs>
        <w:ind w:firstLine="708" w:left="0"/>
        <w:jc w:val="both"/>
        <w:rPr>
          <w:lang w:eastAsia="en-US"/>
        </w:rPr>
      </w:pPr>
      <w:r>
        <w:rPr>
          <w:lang w:eastAsia="en-US"/>
        </w:rPr>
        <w:t>К приемо-сдаточной документации относятся:</w:t>
      </w:r>
    </w:p>
    <w:p>
      <w:pPr>
        <w:pStyle w:val="ListParagraph"/>
        <w:widowControl w:val="false"/>
        <w:numPr>
          <w:ilvl w:val="0"/>
          <w:numId w:val="7"/>
        </w:numPr>
        <w:tabs>
          <w:tab w:val="clear" w:pos="708"/>
          <w:tab w:val="left" w:pos="567" w:leader="none"/>
          <w:tab w:val="left" w:pos="1134" w:leader="none"/>
        </w:tabs>
        <w:ind w:firstLine="709" w:left="0"/>
        <w:jc w:val="both"/>
        <w:rPr>
          <w:lang w:eastAsia="en-US"/>
        </w:rPr>
      </w:pPr>
      <w:r>
        <w:rPr>
          <w:lang w:eastAsia="en-US"/>
        </w:rPr>
        <w:t>Эксплуатационная документация, сертификаты, технические условия, протоколы, инструкции, паспорта;</w:t>
      </w:r>
    </w:p>
    <w:p>
      <w:pPr>
        <w:pStyle w:val="ListParagraph"/>
        <w:widowControl w:val="false"/>
        <w:numPr>
          <w:ilvl w:val="0"/>
          <w:numId w:val="7"/>
        </w:numPr>
        <w:tabs>
          <w:tab w:val="clear" w:pos="708"/>
          <w:tab w:val="left" w:pos="567" w:leader="none"/>
          <w:tab w:val="left" w:pos="1134" w:leader="none"/>
        </w:tabs>
        <w:ind w:firstLine="709" w:left="0"/>
        <w:jc w:val="both"/>
        <w:rPr>
          <w:lang w:eastAsia="en-US"/>
        </w:rPr>
      </w:pPr>
      <w:r>
        <w:rPr>
          <w:lang w:eastAsia="en-US"/>
        </w:rPr>
        <w:t>документы, удостоверяющие качество используемых Подрядчиком Материально-технических ресурсов и оборудования;</w:t>
      </w:r>
    </w:p>
    <w:p>
      <w:pPr>
        <w:pStyle w:val="ListParagraph"/>
        <w:widowControl w:val="false"/>
        <w:numPr>
          <w:ilvl w:val="0"/>
          <w:numId w:val="7"/>
        </w:numPr>
        <w:tabs>
          <w:tab w:val="clear" w:pos="708"/>
          <w:tab w:val="left" w:pos="567" w:leader="none"/>
          <w:tab w:val="left" w:pos="1134" w:leader="none"/>
        </w:tabs>
        <w:ind w:firstLine="709" w:left="0"/>
        <w:jc w:val="both"/>
        <w:rPr>
          <w:lang w:eastAsia="en-US"/>
        </w:rPr>
      </w:pPr>
      <w:r>
        <w:rPr>
          <w:lang w:eastAsia="en-US"/>
        </w:rPr>
        <w:t>пофамильные списки персонала, задействованного при производстве Работ, а также копии всех документов, подтверждающих его квалификацию.</w:t>
      </w:r>
    </w:p>
    <w:p>
      <w:pPr>
        <w:pStyle w:val="ListParagraph"/>
        <w:widowControl w:val="false"/>
        <w:tabs>
          <w:tab w:val="clear" w:pos="708"/>
          <w:tab w:val="left" w:pos="567" w:leader="none"/>
          <w:tab w:val="left" w:pos="1134" w:leader="none"/>
        </w:tabs>
        <w:ind w:firstLine="720" w:left="0"/>
        <w:jc w:val="both"/>
        <w:rPr>
          <w:lang w:eastAsia="en-US"/>
        </w:rPr>
      </w:pPr>
      <w:r>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pPr>
        <w:pStyle w:val="ListParagraph"/>
        <w:widowControl w:val="false"/>
        <w:tabs>
          <w:tab w:val="clear" w:pos="708"/>
          <w:tab w:val="left" w:pos="567" w:leader="none"/>
          <w:tab w:val="left" w:pos="1134" w:leader="none"/>
        </w:tabs>
        <w:ind w:firstLine="720" w:left="0"/>
        <w:jc w:val="both"/>
        <w:rPr>
          <w:lang w:eastAsia="en-US"/>
        </w:rPr>
      </w:pPr>
      <w:r>
        <w:rPr>
          <w:b/>
          <w:bCs/>
          <w:lang w:eastAsia="en-US"/>
        </w:rPr>
        <w:t>«Промежуточный объем работ»</w:t>
      </w:r>
      <w:r>
        <w:rPr>
          <w:lang w:eastAsia="en-US"/>
        </w:rPr>
        <w:t xml:space="preserve"> - объем работ, выполненных по Договору подряда за отчетный период и принятый Актом освидетельствования работ.</w:t>
      </w:r>
    </w:p>
    <w:p>
      <w:pPr>
        <w:pStyle w:val="Heading3"/>
        <w:keepNext w:val="false"/>
        <w:widowControl w:val="false"/>
        <w:tabs>
          <w:tab w:val="clear" w:pos="708"/>
          <w:tab w:val="left" w:pos="567" w:leader="none"/>
        </w:tabs>
        <w:spacing w:before="0" w:after="0"/>
        <w:ind w:firstLine="708"/>
        <w:jc w:val="both"/>
        <w:rPr>
          <w:sz w:val="24"/>
          <w:szCs w:val="24"/>
        </w:rPr>
      </w:pPr>
      <w:r>
        <w:rPr>
          <w:sz w:val="24"/>
          <w:szCs w:val="24"/>
          <w:lang w:eastAsia="en-US"/>
        </w:rPr>
        <w:t>«Работы»</w:t>
      </w:r>
      <w:r>
        <w:rPr>
          <w:b w:val="false"/>
          <w:sz w:val="24"/>
          <w:szCs w:val="24"/>
          <w:lang w:eastAsia="en-US"/>
        </w:rPr>
        <w:t xml:space="preserve"> – все производимые / выполняемые Подрядчиком на свой риск, с использованием своих и / или привлеченных за свой счет сил и средств (Материально-технических ресурсов и оборудования, инструмента), Материалов Заказчика в соответствии с условиями Договора, Рабочей документацией и Применимым правом работы, в том числе строительно-монтажные, пусконаладочные и прочие неразрывно связанные с ними работы, работы по исправлению</w:t>
      </w:r>
      <w:r>
        <w:rPr>
          <w:sz w:val="24"/>
          <w:szCs w:val="24"/>
        </w:rPr>
        <w:t xml:space="preserve"> </w:t>
      </w:r>
      <w:r>
        <w:rPr>
          <w:b w:val="false"/>
          <w:sz w:val="24"/>
          <w:szCs w:val="24"/>
        </w:rPr>
        <w:t>выявленных</w:t>
      </w:r>
      <w:r>
        <w:rPr>
          <w:sz w:val="24"/>
          <w:szCs w:val="24"/>
        </w:rPr>
        <w:t xml:space="preserve"> </w:t>
      </w:r>
      <w:r>
        <w:rPr>
          <w:b w:val="false"/>
          <w:sz w:val="24"/>
          <w:szCs w:val="24"/>
        </w:rPr>
        <w:t>недостатков, несоответствий и / или дефектов в Результате работ, а также любые иные работы (в том числе приобретение Материально-технических ресурсов и оборудования), необходимые для выполнения Подрядчиком своих обязательств по Договору, независимо от их прямого указания в Договоре.</w:t>
      </w:r>
      <w:r>
        <w:rPr>
          <w:sz w:val="24"/>
          <w:szCs w:val="24"/>
        </w:rPr>
        <w:t xml:space="preserve"> </w:t>
      </w:r>
    </w:p>
    <w:p>
      <w:pPr>
        <w:pStyle w:val="Normal"/>
        <w:widowControl w:val="false"/>
        <w:tabs>
          <w:tab w:val="clear" w:pos="708"/>
          <w:tab w:val="left" w:pos="567" w:leader="none"/>
        </w:tabs>
        <w:spacing w:lineRule="auto" w:line="240"/>
        <w:ind w:firstLine="708"/>
        <w:rPr>
          <w:sz w:val="24"/>
          <w:szCs w:val="24"/>
        </w:rPr>
      </w:pPr>
      <w:r>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pPr>
        <w:pStyle w:val="Heading3"/>
        <w:keepNext w:val="false"/>
        <w:widowControl w:val="false"/>
        <w:tabs>
          <w:tab w:val="clear" w:pos="708"/>
          <w:tab w:val="left" w:pos="567" w:leader="none"/>
        </w:tabs>
        <w:spacing w:before="0" w:after="0"/>
        <w:ind w:firstLine="709" w:left="0" w:right="0"/>
        <w:jc w:val="both"/>
        <w:rPr>
          <w:b w:val="false"/>
          <w:sz w:val="22"/>
          <w:szCs w:val="24"/>
          <w:lang w:eastAsia="en-US"/>
        </w:rPr>
      </w:pPr>
      <w:r>
        <w:rPr>
          <w:bCs/>
          <w:sz w:val="24"/>
          <w:lang w:eastAsia="ar-SA"/>
        </w:rPr>
        <w:t>«Проектная документация»</w:t>
      </w:r>
      <w:r>
        <w:rPr>
          <w:b w:val="false"/>
          <w:bCs/>
          <w:sz w:val="24"/>
          <w:lang w:eastAsia="ar-SA"/>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технического перевооружения объектов, их частей. Состав разделов Проектной документации определяется Применимым правом. 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на основании задания Заказчика.</w:t>
      </w:r>
    </w:p>
    <w:p>
      <w:pPr>
        <w:pStyle w:val="Normal"/>
        <w:widowControl w:val="false"/>
        <w:tabs>
          <w:tab w:val="clear" w:pos="708"/>
          <w:tab w:val="left" w:pos="567" w:leader="none"/>
        </w:tabs>
        <w:spacing w:lineRule="auto" w:line="240"/>
        <w:ind w:firstLine="708"/>
        <w:rPr>
          <w:sz w:val="24"/>
          <w:szCs w:val="24"/>
          <w:highlight w:val="none"/>
        </w:rPr>
      </w:pPr>
      <w:r>
        <w:rPr>
          <w:b/>
          <w:sz w:val="24"/>
          <w:szCs w:val="24"/>
          <w:lang w:eastAsia="en-US"/>
        </w:rPr>
        <w:t xml:space="preserve">«Рабочая документация» – </w:t>
      </w:r>
      <w:r>
        <w:rPr>
          <w:sz w:val="24"/>
          <w:szCs w:val="24"/>
          <w:lang w:eastAsia="en-US"/>
        </w:rPr>
        <w:t>совокупность текстовых и графических документов 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w:t>
      </w:r>
      <w:r>
        <w:rPr>
          <w:sz w:val="24"/>
          <w:szCs w:val="24"/>
        </w:rPr>
        <w:t xml:space="preserve">одержащая: </w:t>
      </w:r>
    </w:p>
    <w:p>
      <w:pPr>
        <w:pStyle w:val="ListParagraph"/>
        <w:widowControl w:val="false"/>
        <w:numPr>
          <w:ilvl w:val="0"/>
          <w:numId w:val="7"/>
        </w:numPr>
        <w:tabs>
          <w:tab w:val="clear" w:pos="708"/>
          <w:tab w:val="left" w:pos="567" w:leader="none"/>
          <w:tab w:val="left" w:pos="1134" w:leader="none"/>
        </w:tabs>
        <w:ind w:firstLine="709" w:left="0"/>
        <w:jc w:val="both"/>
        <w:rPr>
          <w:lang w:eastAsia="en-US"/>
        </w:rPr>
      </w:pPr>
      <w:r>
        <w:rPr>
          <w:lang w:eastAsia="en-US"/>
        </w:rPr>
        <w:t>рабочие чертежи основного комплекта, спецификации оборудования и изделий;</w:t>
      </w:r>
    </w:p>
    <w:p>
      <w:pPr>
        <w:pStyle w:val="ListParagraph"/>
        <w:widowControl w:val="false"/>
        <w:numPr>
          <w:ilvl w:val="0"/>
          <w:numId w:val="7"/>
        </w:numPr>
        <w:tabs>
          <w:tab w:val="clear" w:pos="708"/>
          <w:tab w:val="left" w:pos="567" w:leader="none"/>
          <w:tab w:val="left" w:pos="1134" w:leader="none"/>
        </w:tabs>
        <w:ind w:firstLine="709" w:left="0"/>
        <w:jc w:val="both"/>
        <w:rPr>
          <w:lang w:eastAsia="en-US"/>
        </w:rPr>
      </w:pPr>
      <w:r>
        <w:rPr>
          <w:lang w:eastAsia="en-US"/>
        </w:rPr>
        <w:t>документы, разработанные в дополнение к рабочим чертежам основного комплекта;</w:t>
      </w:r>
    </w:p>
    <w:p>
      <w:pPr>
        <w:pStyle w:val="ListParagraph"/>
        <w:widowControl w:val="false"/>
        <w:numPr>
          <w:ilvl w:val="0"/>
          <w:numId w:val="7"/>
        </w:numPr>
        <w:tabs>
          <w:tab w:val="clear" w:pos="708"/>
          <w:tab w:val="left" w:pos="567" w:leader="none"/>
          <w:tab w:val="left" w:pos="1134" w:leader="none"/>
        </w:tabs>
        <w:ind w:firstLine="709" w:left="0"/>
        <w:jc w:val="both"/>
        <w:rPr>
          <w:lang w:eastAsia="en-US"/>
        </w:rPr>
      </w:pPr>
      <w:r>
        <w:rPr>
          <w:lang w:eastAsia="en-US"/>
        </w:rPr>
        <w:t xml:space="preserve">сметную документацию, определяющую полную стоимость Работ (кроме Проектных Работ) по Рабочей документации. </w:t>
      </w:r>
    </w:p>
    <w:p>
      <w:pPr>
        <w:pStyle w:val="Normal"/>
        <w:widowControl w:val="false"/>
        <w:tabs>
          <w:tab w:val="clear" w:pos="708"/>
          <w:tab w:val="left" w:pos="567" w:leader="none"/>
        </w:tabs>
        <w:spacing w:lineRule="auto" w:line="240"/>
        <w:ind w:firstLine="708"/>
        <w:rPr>
          <w:sz w:val="24"/>
          <w:szCs w:val="24"/>
          <w:lang w:eastAsia="en-US"/>
        </w:rPr>
      </w:pPr>
      <w:r>
        <w:rPr>
          <w:b/>
          <w:sz w:val="24"/>
          <w:szCs w:val="24"/>
          <w:lang w:eastAsia="en-US"/>
        </w:rPr>
        <w:t>«Рабочий день»</w:t>
      </w:r>
      <w:r>
        <w:rPr>
          <w:sz w:val="24"/>
          <w:szCs w:val="24"/>
          <w:lang w:eastAsia="en-US"/>
        </w:rPr>
        <w:t xml:space="preserve"> – день, который в соответствии с Применимым правом, является рабочим днем в Российской Федерации.</w:t>
      </w:r>
    </w:p>
    <w:p>
      <w:pPr>
        <w:pStyle w:val="Heading3"/>
        <w:keepNext w:val="false"/>
        <w:widowControl w:val="false"/>
        <w:tabs>
          <w:tab w:val="clear" w:pos="708"/>
          <w:tab w:val="left" w:pos="567" w:leader="none"/>
        </w:tabs>
        <w:spacing w:before="0" w:after="0"/>
        <w:ind w:firstLine="708"/>
        <w:jc w:val="both"/>
        <w:rPr>
          <w:b w:val="false"/>
          <w:sz w:val="24"/>
          <w:szCs w:val="24"/>
          <w:lang w:eastAsia="en-US"/>
        </w:rPr>
      </w:pPr>
      <w:r>
        <w:rPr>
          <w:sz w:val="24"/>
          <w:szCs w:val="24"/>
          <w:lang w:eastAsia="en-US"/>
        </w:rPr>
        <w:t xml:space="preserve"> </w:t>
      </w:r>
      <w:r>
        <w:rPr>
          <w:sz w:val="24"/>
          <w:szCs w:val="24"/>
          <w:lang w:eastAsia="en-US"/>
        </w:rPr>
        <w:t>«Результат работ»</w:t>
      </w:r>
      <w:r>
        <w:rPr>
          <w:b w:val="false"/>
          <w:sz w:val="24"/>
          <w:szCs w:val="24"/>
          <w:lang w:eastAsia="en-US"/>
        </w:rPr>
        <w:t xml:space="preserve"> – готовый к эксплуатации Объект, принятый Заказчиком в Гарантийную эксплуатацию по Акту КС-11, соответствующий требованиям, изложенным в Договоре.</w:t>
      </w:r>
    </w:p>
    <w:p>
      <w:pPr>
        <w:pStyle w:val="Heading3"/>
        <w:keepNext w:val="false"/>
        <w:widowControl w:val="false"/>
        <w:tabs>
          <w:tab w:val="clear" w:pos="708"/>
          <w:tab w:val="left" w:pos="567" w:leader="none"/>
        </w:tabs>
        <w:spacing w:before="0" w:after="0"/>
        <w:ind w:firstLine="708"/>
        <w:jc w:val="both"/>
        <w:rPr>
          <w:b w:val="false"/>
          <w:sz w:val="24"/>
          <w:szCs w:val="24"/>
          <w:lang w:eastAsia="en-US"/>
        </w:rPr>
      </w:pPr>
      <w:r>
        <w:rPr>
          <w:sz w:val="24"/>
          <w:szCs w:val="24"/>
          <w:lang w:eastAsia="en-US"/>
        </w:rPr>
        <w:t>«Скрытые работы»</w:t>
      </w:r>
      <w:r>
        <w:rPr>
          <w:b w:val="false"/>
          <w:sz w:val="24"/>
          <w:szCs w:val="24"/>
          <w:lang w:eastAsia="en-US"/>
        </w:rPr>
        <w:t xml:space="preserve"> – отдельные виды работ, оказывающие влияние на безопасность объекта капитального строительства, которые недоступны для визуальной оценки при сдаче Подрядчиком Работ Заказчику, поскольку в соответствии с технологией контроль их качество и точность невозможно определить после выполнения последующих Работ. </w:t>
      </w:r>
    </w:p>
    <w:p>
      <w:pPr>
        <w:pStyle w:val="Heading3"/>
        <w:keepNext w:val="false"/>
        <w:widowControl w:val="false"/>
        <w:tabs>
          <w:tab w:val="clear" w:pos="708"/>
          <w:tab w:val="left" w:pos="567" w:leader="none"/>
        </w:tabs>
        <w:spacing w:before="0" w:after="0"/>
        <w:ind w:firstLine="708"/>
        <w:jc w:val="both"/>
        <w:rPr>
          <w:b w:val="false"/>
          <w:sz w:val="24"/>
          <w:szCs w:val="24"/>
          <w:lang w:eastAsia="en-US"/>
        </w:rPr>
      </w:pPr>
      <w:r>
        <w:rPr>
          <w:b w:val="false"/>
          <w:sz w:val="24"/>
          <w:szCs w:val="24"/>
          <w:lang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pPr>
        <w:pStyle w:val="Normal"/>
        <w:spacing w:lineRule="auto" w:line="240"/>
        <w:ind w:firstLine="709"/>
        <w:rPr>
          <w:sz w:val="24"/>
          <w:szCs w:val="24"/>
          <w:lang w:eastAsia="en-US"/>
        </w:rPr>
      </w:pPr>
      <w:r>
        <w:rPr>
          <w:b/>
          <w:sz w:val="24"/>
          <w:szCs w:val="24"/>
          <w:lang w:eastAsia="en-US"/>
        </w:rPr>
        <w:t>«СМП»</w:t>
      </w:r>
      <w:r>
        <w:rPr>
          <w:sz w:val="24"/>
          <w:szCs w:val="24"/>
          <w:lang w:eastAsia="en-US"/>
        </w:rPr>
        <w:t xml:space="preserve"> – субъект малого и среднего предпринимательства.</w:t>
      </w:r>
    </w:p>
    <w:p>
      <w:pPr>
        <w:pStyle w:val="Heading3"/>
        <w:keepNext w:val="false"/>
        <w:widowControl w:val="false"/>
        <w:tabs>
          <w:tab w:val="clear" w:pos="708"/>
          <w:tab w:val="left" w:pos="567" w:leader="none"/>
          <w:tab w:val="left" w:pos="960" w:leader="none"/>
          <w:tab w:val="left" w:pos="1245" w:leader="none"/>
        </w:tabs>
        <w:spacing w:before="0" w:after="0"/>
        <w:ind w:firstLine="708"/>
        <w:jc w:val="both"/>
        <w:rPr>
          <w:b w:val="false"/>
          <w:sz w:val="24"/>
          <w:szCs w:val="24"/>
          <w:lang w:eastAsia="en-US"/>
        </w:rPr>
      </w:pPr>
      <w:r>
        <w:rPr>
          <w:sz w:val="24"/>
          <w:szCs w:val="24"/>
          <w:lang w:eastAsia="en-US"/>
        </w:rPr>
        <w:t>«Субподрядчик»</w:t>
      </w:r>
      <w:r>
        <w:rPr>
          <w:b w:val="false"/>
          <w:sz w:val="24"/>
          <w:szCs w:val="24"/>
          <w:lang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pPr>
        <w:pStyle w:val="Normal"/>
        <w:widowControl w:val="false"/>
        <w:numPr>
          <w:ilvl w:val="0"/>
          <w:numId w:val="0"/>
        </w:numPr>
        <w:tabs>
          <w:tab w:val="clear" w:pos="708"/>
          <w:tab w:val="left" w:pos="567" w:leader="none"/>
        </w:tabs>
        <w:spacing w:lineRule="auto" w:line="240"/>
        <w:ind w:firstLine="708" w:left="0"/>
        <w:outlineLvl w:val="2"/>
        <w:rPr>
          <w:sz w:val="24"/>
          <w:szCs w:val="24"/>
          <w:lang w:eastAsia="en-US"/>
        </w:rPr>
      </w:pPr>
      <w:r>
        <w:rPr>
          <w:b/>
          <w:sz w:val="24"/>
          <w:szCs w:val="24"/>
          <w:lang w:eastAsia="en-US"/>
        </w:rPr>
        <w:t xml:space="preserve">«Цена Договора предельная» – </w:t>
      </w:r>
      <w:r>
        <w:rPr>
          <w:sz w:val="24"/>
          <w:szCs w:val="24"/>
          <w:lang w:eastAsia="en-US"/>
        </w:rPr>
        <w:t>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 на весь период действия Договора. При этом оплата Работ производится по фактическим затратам Подрядчика, но не выше предельной (максимальной) цены Договора.</w:t>
      </w:r>
    </w:p>
    <w:p>
      <w:pPr>
        <w:pStyle w:val="Normal"/>
        <w:widowControl w:val="false"/>
        <w:numPr>
          <w:ilvl w:val="0"/>
          <w:numId w:val="0"/>
        </w:numPr>
        <w:tabs>
          <w:tab w:val="clear" w:pos="708"/>
          <w:tab w:val="left" w:pos="567" w:leader="none"/>
        </w:tabs>
        <w:spacing w:lineRule="auto" w:line="240"/>
        <w:ind w:firstLine="708" w:left="0"/>
        <w:outlineLvl w:val="2"/>
        <w:rPr>
          <w:sz w:val="24"/>
          <w:szCs w:val="24"/>
          <w:lang w:eastAsia="en-US"/>
        </w:rPr>
      </w:pPr>
      <w:r>
        <w:rPr>
          <w:b/>
          <w:sz w:val="24"/>
          <w:szCs w:val="24"/>
          <w:lang w:eastAsia="en-US"/>
        </w:rPr>
        <w:t>«Этап Работ»</w:t>
      </w:r>
      <w:r>
        <w:rPr>
          <w:sz w:val="24"/>
          <w:szCs w:val="24"/>
          <w:lang w:eastAsia="en-US"/>
        </w:rPr>
        <w:t xml:space="preserve"> – законченный объем Работ, предусмотренный Графиком производства и финансирования  работ, который обладает признаками завершенности. </w:t>
      </w:r>
    </w:p>
    <w:p>
      <w:pPr>
        <w:pStyle w:val="Normal"/>
        <w:widowControl w:val="false"/>
        <w:numPr>
          <w:ilvl w:val="0"/>
          <w:numId w:val="0"/>
        </w:numPr>
        <w:tabs>
          <w:tab w:val="clear" w:pos="708"/>
          <w:tab w:val="left" w:pos="567" w:leader="none"/>
        </w:tabs>
        <w:spacing w:lineRule="auto" w:line="240"/>
        <w:ind w:firstLine="708" w:left="0"/>
        <w:outlineLvl w:val="2"/>
        <w:rPr>
          <w:sz w:val="24"/>
          <w:szCs w:val="24"/>
          <w:lang w:eastAsia="en-US"/>
        </w:rPr>
      </w:pPr>
      <w:r>
        <w:rPr>
          <w:sz w:val="24"/>
          <w:szCs w:val="24"/>
          <w:lang w:eastAsia="en-US"/>
        </w:rPr>
        <w:t xml:space="preserve">  </w:t>
      </w:r>
      <w:r>
        <w:rPr>
          <w:sz w:val="24"/>
          <w:szCs w:val="24"/>
          <w:lang w:eastAsia="en-US"/>
        </w:rPr>
        <w:t xml:space="preserve">Этап как технологически обособленная часть Работ, в отношении которой Сторонами согласованы сроки выполнения Работ и требования к результатам, считается выделенным в рамках общего объема Работ и подлежит отдельной приемке Заказчиком в соответствии с разделом 4 Договора. В ином случае считается, что приемке Заказчиком подлежит только Результат Работ в целом.  </w:t>
      </w:r>
    </w:p>
    <w:p>
      <w:pPr>
        <w:pStyle w:val="Normal"/>
        <w:spacing w:lineRule="auto" w:line="240"/>
        <w:rPr>
          <w:sz w:val="24"/>
          <w:szCs w:val="24"/>
        </w:rPr>
      </w:pPr>
      <w:r>
        <w:rPr>
          <w:sz w:val="24"/>
          <w:szCs w:val="24"/>
        </w:rPr>
      </w:r>
    </w:p>
    <w:p>
      <w:pPr>
        <w:pStyle w:val="ListParagraph"/>
        <w:numPr>
          <w:ilvl w:val="0"/>
          <w:numId w:val="3"/>
        </w:numPr>
        <w:tabs>
          <w:tab w:val="clear" w:pos="708"/>
          <w:tab w:val="left" w:pos="284" w:leader="none"/>
        </w:tabs>
        <w:ind w:hanging="0" w:left="0"/>
        <w:jc w:val="center"/>
        <w:rPr>
          <w:b/>
          <w:bCs/>
        </w:rPr>
      </w:pPr>
      <w:r>
        <w:rPr>
          <w:b/>
          <w:bCs/>
        </w:rPr>
        <w:t>Предмет Договора</w:t>
      </w:r>
    </w:p>
    <w:p>
      <w:pPr>
        <w:pStyle w:val="ListParagraph"/>
        <w:numPr>
          <w:ilvl w:val="1"/>
          <w:numId w:val="21"/>
        </w:numPr>
        <w:spacing w:lineRule="atLeast" w:line="21"/>
        <w:ind w:firstLine="568" w:left="0"/>
        <w:jc w:val="both"/>
        <w:rPr>
          <w:bCs/>
        </w:rPr>
      </w:pPr>
      <w:bookmarkStart w:id="4" w:name="_Ref361410951"/>
      <w:r>
        <w:rPr>
          <w:bCs/>
        </w:rPr>
        <w:t xml:space="preserve">Подрядчик обязуется в соответствии с Техническими требованиями (Приложение № 1 к Договору) выполнить </w:t>
      </w:r>
      <w:bookmarkEnd w:id="4"/>
      <w:r>
        <w:rPr>
          <w:bCs/>
        </w:rPr>
        <w:t>проектные и строительно-монтажные работы по реконструкции квартальных тепловых сетей пгт. Новорайчихинск</w:t>
      </w:r>
      <w:r>
        <w:rPr>
          <w:sz w:val="24"/>
          <w:szCs w:val="24"/>
        </w:rPr>
        <w:t xml:space="preserve"> </w:t>
      </w:r>
      <w:r>
        <w:rPr>
          <w:bCs/>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p>
    <w:p>
      <w:pPr>
        <w:pStyle w:val="ListParagraph"/>
        <w:numPr>
          <w:ilvl w:val="1"/>
          <w:numId w:val="3"/>
        </w:numPr>
        <w:ind w:firstLine="709" w:left="0"/>
        <w:jc w:val="both"/>
        <w:rPr>
          <w:bCs/>
        </w:rPr>
      </w:pPr>
      <w:r>
        <w:rPr>
          <w:bCs/>
        </w:rPr>
        <w:t xml:space="preserve">Объем и состав Работ по Договору определяется Техническими требованиями (Приложение № 1 к Договору). Работы по Договору подлежат выполнению Подрядчиком в строгом соответствии с Проектной документацией, требованиями Применимого права и указаниями Заказчика. </w:t>
      </w:r>
    </w:p>
    <w:p>
      <w:pPr>
        <w:pStyle w:val="ListParagraph"/>
        <w:numPr>
          <w:ilvl w:val="1"/>
          <w:numId w:val="3"/>
        </w:numPr>
        <w:ind w:firstLine="709" w:left="0"/>
        <w:jc w:val="both"/>
        <w:rPr>
          <w:bCs/>
        </w:rPr>
      </w:pPr>
      <w:r>
        <w:rPr>
          <w:bCs/>
        </w:rPr>
        <w:t>В состав Работ по Договору входят:</w:t>
      </w:r>
    </w:p>
    <w:p>
      <w:pPr>
        <w:pStyle w:val="Normal"/>
        <w:tabs>
          <w:tab w:val="clear" w:pos="708"/>
          <w:tab w:val="left" w:pos="709" w:leader="none"/>
        </w:tabs>
        <w:spacing w:lineRule="auto" w:line="240" w:before="0" w:after="0"/>
        <w:ind w:hanging="0" w:left="709"/>
        <w:contextualSpacing/>
        <w:rPr>
          <w:bCs/>
          <w:sz w:val="24"/>
          <w:szCs w:val="24"/>
        </w:rPr>
      </w:pPr>
      <w:r>
        <w:rPr>
          <w:bCs/>
          <w:sz w:val="24"/>
          <w:szCs w:val="24"/>
        </w:rPr>
        <w:t>1.3.1    Разработка проектной документации;</w:t>
      </w:r>
    </w:p>
    <w:p>
      <w:pPr>
        <w:pStyle w:val="ListParagraph"/>
        <w:numPr>
          <w:ilvl w:val="2"/>
          <w:numId w:val="23"/>
        </w:numPr>
        <w:tabs>
          <w:tab w:val="clear" w:pos="708"/>
          <w:tab w:val="left" w:pos="1134" w:leader="none"/>
        </w:tabs>
        <w:rPr>
          <w:bCs/>
        </w:rPr>
      </w:pPr>
      <w:r>
        <w:rPr>
          <w:bCs/>
        </w:rPr>
        <w:t>Строительно-монтажные работы.</w:t>
      </w:r>
    </w:p>
    <w:p>
      <w:pPr>
        <w:pStyle w:val="ListParagraph"/>
        <w:numPr>
          <w:ilvl w:val="1"/>
          <w:numId w:val="3"/>
        </w:numPr>
        <w:shd w:val="clear" w:color="auto" w:fill="FFFFFF"/>
        <w:tabs>
          <w:tab w:val="clear" w:pos="708"/>
          <w:tab w:val="left" w:pos="1134" w:leader="none"/>
        </w:tabs>
        <w:ind w:firstLine="709" w:left="0"/>
        <w:jc w:val="both"/>
        <w:rPr>
          <w:bCs/>
        </w:rPr>
      </w:pPr>
      <w:r>
        <w:rPr>
          <w:bCs/>
        </w:rPr>
        <w:t>Работы по Договору выполняются для нужд структурного подразделения Заказчика «Амурские тепловые сети».</w:t>
      </w:r>
    </w:p>
    <w:p>
      <w:pPr>
        <w:pStyle w:val="ListParagraph"/>
        <w:numPr>
          <w:ilvl w:val="1"/>
          <w:numId w:val="3"/>
        </w:numPr>
        <w:shd w:val="clear" w:color="auto" w:fill="FFFFFF"/>
        <w:tabs>
          <w:tab w:val="clear" w:pos="708"/>
          <w:tab w:val="left" w:pos="1134" w:leader="none"/>
        </w:tabs>
        <w:ind w:firstLine="709" w:left="0"/>
        <w:jc w:val="both"/>
        <w:rPr>
          <w:bCs/>
          <w:highlight w:val="white"/>
        </w:rPr>
      </w:pPr>
      <w:r>
        <w:rPr>
          <w:bCs/>
          <w:highlight w:val="white"/>
        </w:rPr>
        <w:t xml:space="preserve">Место выполнения </w:t>
      </w:r>
      <w:r>
        <w:rPr>
          <w:bCs/>
          <w:shd w:fill="auto" w:val="clear"/>
        </w:rPr>
        <w:t xml:space="preserve">Работ: Россия, </w:t>
      </w:r>
      <w:r>
        <w:rPr>
          <w:shd w:fill="auto" w:val="clear"/>
        </w:rPr>
        <w:t xml:space="preserve">Амурская область,  пгт. </w:t>
      </w:r>
      <w:r>
        <w:rPr>
          <w:color w:val="000000"/>
          <w:sz w:val="24"/>
          <w:shd w:fill="auto" w:val="clear"/>
        </w:rPr>
        <w:t>Новорайчихинск, тепловая сеть -от ТУ59 до участка за проезжей частью ул. Шоссейная, тепловая сеть- от ТУ1 «Механический завод» до компенсатора ТУ2.</w:t>
      </w:r>
    </w:p>
    <w:p>
      <w:pPr>
        <w:pStyle w:val="ListParagraph"/>
        <w:numPr>
          <w:ilvl w:val="1"/>
          <w:numId w:val="3"/>
        </w:numPr>
        <w:shd w:val="clear" w:color="auto" w:fill="FFFFFF"/>
        <w:tabs>
          <w:tab w:val="clear" w:pos="708"/>
          <w:tab w:val="left" w:pos="1134" w:leader="none"/>
        </w:tabs>
        <w:ind w:firstLine="709" w:left="0"/>
        <w:jc w:val="both"/>
        <w:rPr>
          <w:bCs/>
          <w:highlight w:val="white"/>
        </w:rPr>
      </w:pPr>
      <w:bookmarkStart w:id="5" w:name="_Ref361320424"/>
      <w:r>
        <w:rPr>
          <w:bCs/>
          <w:highlight w:val="white"/>
        </w:rPr>
        <w:t>Работы выполняются Подрядчиком в следующие сроки:</w:t>
      </w:r>
      <w:bookmarkEnd w:id="5"/>
    </w:p>
    <w:p>
      <w:pPr>
        <w:pStyle w:val="ListParagraph"/>
        <w:numPr>
          <w:ilvl w:val="2"/>
          <w:numId w:val="3"/>
        </w:numPr>
        <w:shd w:val="clear" w:color="auto" w:fill="FFFFFF"/>
        <w:tabs>
          <w:tab w:val="clear" w:pos="708"/>
          <w:tab w:val="left" w:pos="1134" w:leader="none"/>
        </w:tabs>
        <w:ind w:hanging="0" w:left="709"/>
        <w:jc w:val="both"/>
        <w:rPr>
          <w:bCs/>
        </w:rPr>
      </w:pPr>
      <w:r>
        <w:rPr>
          <w:bCs/>
        </w:rPr>
        <w:t>начало выполнения Работ: с даты, следующей за датой заключения Договора;</w:t>
      </w:r>
    </w:p>
    <w:p>
      <w:pPr>
        <w:pStyle w:val="ListParagraph"/>
        <w:numPr>
          <w:ilvl w:val="2"/>
          <w:numId w:val="3"/>
        </w:numPr>
        <w:shd w:val="clear" w:color="auto" w:fill="FFFFFF"/>
        <w:tabs>
          <w:tab w:val="clear" w:pos="708"/>
          <w:tab w:val="left" w:pos="1134" w:leader="none"/>
        </w:tabs>
        <w:ind w:hanging="0" w:left="709"/>
        <w:jc w:val="both"/>
        <w:rPr>
          <w:bCs/>
          <w:highlight w:val="white"/>
        </w:rPr>
      </w:pPr>
      <w:r>
        <w:rPr>
          <w:bCs/>
        </w:rPr>
        <w:t>окончание выполнения Работ:</w:t>
      </w:r>
      <w:r>
        <w:rPr>
          <w:bCs/>
          <w:highlight w:val="white"/>
        </w:rPr>
        <w:t xml:space="preserve"> «30» сентября 2027 г.</w:t>
      </w:r>
    </w:p>
    <w:p>
      <w:pPr>
        <w:pStyle w:val="16"/>
        <w:numPr>
          <w:ilvl w:val="2"/>
          <w:numId w:val="3"/>
        </w:numPr>
        <w:tabs>
          <w:tab w:val="clear" w:pos="1418"/>
          <w:tab w:val="left" w:pos="0" w:leader="none"/>
        </w:tabs>
        <w:ind w:firstLine="709" w:left="0"/>
        <w:rPr/>
      </w:pPr>
      <w:r>
        <w:rPr/>
        <w:t xml:space="preserve">Выполнение Работ осуществляется поэтапно. Сроки выполнения отдельных Этапов Работ определяются Графиком производства и финансирования работ (Приложение № 2 к Договору) в рамках общих сроков. </w:t>
      </w:r>
    </w:p>
    <w:p>
      <w:pPr>
        <w:pStyle w:val="Normal"/>
        <w:widowControl w:val="false"/>
        <w:tabs>
          <w:tab w:val="clear" w:pos="708"/>
          <w:tab w:val="left" w:pos="284" w:leader="none"/>
        </w:tabs>
        <w:jc w:val="left"/>
        <w:rPr>
          <w:b/>
          <w:bCs/>
          <w:sz w:val="24"/>
          <w:szCs w:val="24"/>
        </w:rPr>
      </w:pPr>
      <w:r>
        <w:rPr>
          <w:b/>
          <w:bCs/>
          <w:sz w:val="24"/>
          <w:szCs w:val="24"/>
        </w:rPr>
      </w:r>
    </w:p>
    <w:p>
      <w:pPr>
        <w:pStyle w:val="ListParagraph"/>
        <w:widowControl w:val="false"/>
        <w:numPr>
          <w:ilvl w:val="0"/>
          <w:numId w:val="3"/>
        </w:numPr>
        <w:tabs>
          <w:tab w:val="clear" w:pos="708"/>
          <w:tab w:val="left" w:pos="284" w:leader="none"/>
        </w:tabs>
        <w:ind w:hanging="0" w:left="0"/>
        <w:jc w:val="center"/>
        <w:rPr>
          <w:b/>
          <w:bCs/>
        </w:rPr>
      </w:pPr>
      <w:r>
        <w:rPr>
          <w:b/>
          <w:bCs/>
        </w:rPr>
        <w:t xml:space="preserve">Права и обязанности Сторон </w:t>
      </w:r>
    </w:p>
    <w:p>
      <w:pPr>
        <w:pStyle w:val="Normal"/>
        <w:widowControl w:val="false"/>
        <w:tabs>
          <w:tab w:val="clear" w:pos="708"/>
          <w:tab w:val="left" w:pos="1134" w:leader="none"/>
        </w:tabs>
        <w:spacing w:lineRule="auto" w:line="240"/>
        <w:ind w:hanging="0" w:left="709"/>
        <w:rPr>
          <w:sz w:val="24"/>
          <w:szCs w:val="24"/>
          <w:u w:val="single"/>
        </w:rPr>
      </w:pPr>
      <w:r>
        <w:rPr>
          <w:bCs/>
          <w:sz w:val="24"/>
          <w:szCs w:val="24"/>
          <w:u w:val="single"/>
        </w:rPr>
        <w:t>2.1. Заказчик обязан:</w:t>
      </w:r>
    </w:p>
    <w:p>
      <w:pPr>
        <w:pStyle w:val="Normal"/>
        <w:spacing w:lineRule="auto" w:line="240"/>
        <w:rPr>
          <w:bCs/>
          <w:sz w:val="24"/>
          <w:szCs w:val="24"/>
        </w:rPr>
      </w:pPr>
      <w:r>
        <w:rPr>
          <w:bCs/>
          <w:sz w:val="24"/>
          <w:szCs w:val="24"/>
        </w:rPr>
        <w:t xml:space="preserve">   </w:t>
      </w:r>
      <w:r>
        <w:rPr>
          <w:bCs/>
          <w:sz w:val="24"/>
          <w:szCs w:val="24"/>
        </w:rPr>
        <w:t xml:space="preserve">2.1.1. 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pPr>
        <w:pStyle w:val="Normal"/>
        <w:widowControl w:val="false"/>
        <w:tabs>
          <w:tab w:val="clear" w:pos="708"/>
          <w:tab w:val="left" w:pos="1418" w:leader="none"/>
        </w:tabs>
        <w:spacing w:lineRule="auto" w:line="240"/>
        <w:ind w:hanging="0"/>
        <w:rPr>
          <w:sz w:val="24"/>
          <w:szCs w:val="24"/>
        </w:rPr>
      </w:pPr>
      <w:r>
        <w:rPr>
          <w:sz w:val="24"/>
          <w:szCs w:val="24"/>
        </w:rPr>
        <w:t xml:space="preserve">            </w:t>
      </w:r>
      <w:r>
        <w:rPr>
          <w:sz w:val="24"/>
          <w:szCs w:val="24"/>
        </w:rPr>
        <w:t xml:space="preserve">2.1.2. </w:t>
      </w:r>
      <w:bookmarkStart w:id="6" w:name="_Ref361396847"/>
      <w:bookmarkStart w:id="7" w:name="_Ref361320734"/>
      <w:bookmarkStart w:id="8" w:name="_Ref361401696"/>
      <w:r>
        <w:rPr>
          <w:bCs/>
          <w:sz w:val="24"/>
          <w:szCs w:val="24"/>
        </w:rPr>
        <w:t>В течение 3 (трех) рабочих дней с даты получения соответствующего письменного запроса Подрядчика, передать (предоставить) последнему:</w:t>
      </w:r>
      <w:bookmarkEnd w:id="6"/>
      <w:bookmarkEnd w:id="7"/>
      <w:bookmarkEnd w:id="8"/>
    </w:p>
    <w:p>
      <w:pPr>
        <w:pStyle w:val="ListParagraph"/>
        <w:numPr>
          <w:ilvl w:val="0"/>
          <w:numId w:val="8"/>
        </w:numPr>
        <w:tabs>
          <w:tab w:val="clear" w:pos="708"/>
          <w:tab w:val="left" w:pos="709" w:leader="none"/>
          <w:tab w:val="left" w:pos="1418" w:leader="none"/>
        </w:tabs>
        <w:ind w:firstLine="709" w:left="0"/>
        <w:jc w:val="both"/>
        <w:rPr/>
      </w:pPr>
      <w:r>
        <w:rPr/>
        <w:t xml:space="preserve">место производства Работ, место (помещение) для складирования </w:t>
      </w:r>
      <w:r>
        <w:rPr>
          <w:bCs/>
        </w:rPr>
        <w:t xml:space="preserve">Материально-технических ресурсов </w:t>
      </w:r>
      <w:r>
        <w:rPr/>
        <w:t xml:space="preserve">и оборудования, </w:t>
      </w:r>
      <w:r>
        <w:rPr>
          <w:bCs/>
        </w:rPr>
        <w:t>Материалов Заказчика</w:t>
      </w:r>
      <w:r>
        <w:rPr/>
        <w:t xml:space="preserve"> по соответствующим актам сдачи-приемки по форме Приложения № 4 к Договору;</w:t>
      </w:r>
    </w:p>
    <w:p>
      <w:pPr>
        <w:pStyle w:val="ListParagraph"/>
        <w:numPr>
          <w:ilvl w:val="0"/>
          <w:numId w:val="8"/>
        </w:numPr>
        <w:tabs>
          <w:tab w:val="clear" w:pos="708"/>
          <w:tab w:val="left" w:pos="709" w:leader="none"/>
          <w:tab w:val="left" w:pos="1418" w:leader="none"/>
        </w:tabs>
        <w:ind w:firstLine="709" w:left="0"/>
        <w:jc w:val="both"/>
        <w:rPr/>
      </w:pPr>
      <w:r>
        <w:rPr>
          <w:bCs/>
        </w:rPr>
        <w:t>техническую и иную документацию, содержащую исходные данные для выполнения Подрядчиком Работ по Договору, по Акту сдачи-приемки технической и иной документации по форме Приложения № 4.1 к Договору.</w:t>
      </w:r>
      <w:r>
        <w:rPr/>
        <w:t xml:space="preserve"> </w:t>
      </w:r>
    </w:p>
    <w:p>
      <w:pPr>
        <w:pStyle w:val="Normal"/>
        <w:widowControl w:val="false"/>
        <w:tabs>
          <w:tab w:val="clear" w:pos="708"/>
          <w:tab w:val="left" w:pos="1418" w:leader="none"/>
        </w:tabs>
        <w:spacing w:lineRule="auto" w:line="240"/>
        <w:ind w:hanging="0" w:left="709"/>
        <w:rPr>
          <w:sz w:val="24"/>
          <w:szCs w:val="24"/>
        </w:rPr>
      </w:pPr>
      <w:r>
        <w:rPr>
          <w:bCs/>
          <w:sz w:val="24"/>
          <w:szCs w:val="24"/>
        </w:rPr>
        <w:t>2.1.3.  При  наличии  технической  возможности  обеспечить Подрядчику возможность</w:t>
      </w:r>
    </w:p>
    <w:p>
      <w:pPr>
        <w:pStyle w:val="Normal"/>
        <w:widowControl w:val="false"/>
        <w:tabs>
          <w:tab w:val="clear" w:pos="708"/>
          <w:tab w:val="left" w:pos="1418" w:leader="none"/>
        </w:tabs>
        <w:spacing w:lineRule="auto" w:line="240"/>
        <w:ind w:hanging="0"/>
        <w:rPr>
          <w:sz w:val="24"/>
          <w:szCs w:val="24"/>
        </w:rPr>
      </w:pPr>
      <w:r>
        <w:rPr>
          <w:bCs/>
          <w:sz w:val="24"/>
          <w:szCs w:val="24"/>
        </w:rPr>
        <w:t>подключения к имеющимся у Заказчика бытовым источникам электроснабжения, водоснабжения, канализации для целей выполнения Работ по Договору</w:t>
      </w:r>
      <w:bookmarkStart w:id="9" w:name="_Ref361334549"/>
      <w:r>
        <w:rPr>
          <w:bCs/>
          <w:sz w:val="24"/>
          <w:szCs w:val="24"/>
        </w:rPr>
        <w:t>.</w:t>
      </w:r>
      <w:bookmarkEnd w:id="9"/>
      <w:r>
        <w:rPr>
          <w:bCs/>
          <w:sz w:val="24"/>
          <w:szCs w:val="24"/>
        </w:rPr>
        <w:t xml:space="preserve"> </w:t>
      </w:r>
    </w:p>
    <w:p>
      <w:pPr>
        <w:pStyle w:val="Normal"/>
        <w:widowControl w:val="false"/>
        <w:tabs>
          <w:tab w:val="clear" w:pos="708"/>
          <w:tab w:val="left" w:pos="1418" w:leader="none"/>
        </w:tabs>
        <w:spacing w:lineRule="auto" w:line="240"/>
        <w:ind w:hanging="0" w:left="709"/>
        <w:rPr>
          <w:sz w:val="24"/>
          <w:szCs w:val="24"/>
        </w:rPr>
      </w:pPr>
      <w:r>
        <w:rPr>
          <w:bCs/>
          <w:sz w:val="24"/>
          <w:szCs w:val="24"/>
        </w:rPr>
        <w:t xml:space="preserve">2.1.4.   Ознакомить   Подрядчика  с  локальными   нормативными   актами   Заказчика, </w:t>
      </w:r>
    </w:p>
    <w:p>
      <w:pPr>
        <w:pStyle w:val="Normal"/>
        <w:widowControl w:val="false"/>
        <w:tabs>
          <w:tab w:val="clear" w:pos="708"/>
          <w:tab w:val="left" w:pos="1418" w:leader="none"/>
        </w:tabs>
        <w:spacing w:lineRule="auto" w:line="240"/>
        <w:ind w:hanging="0"/>
        <w:rPr>
          <w:sz w:val="24"/>
          <w:szCs w:val="24"/>
        </w:rPr>
      </w:pPr>
      <w:r>
        <w:rPr>
          <w:bCs/>
          <w:sz w:val="24"/>
          <w:szCs w:val="24"/>
        </w:rPr>
        <w:t xml:space="preserve">устанавливающими требования по охране труда, промышленной и пожарной безопасности, правилами пропускного и внутриобъектового режима Заказчика. </w:t>
      </w:r>
    </w:p>
    <w:p>
      <w:pPr>
        <w:pStyle w:val="Normal"/>
        <w:widowControl w:val="false"/>
        <w:tabs>
          <w:tab w:val="clear" w:pos="708"/>
          <w:tab w:val="left" w:pos="709" w:leader="none"/>
        </w:tabs>
        <w:spacing w:lineRule="auto" w:line="240"/>
        <w:ind w:hanging="0" w:left="709"/>
        <w:rPr>
          <w:sz w:val="24"/>
          <w:szCs w:val="24"/>
        </w:rPr>
      </w:pPr>
      <w:r>
        <w:rPr>
          <w:bCs/>
          <w:sz w:val="24"/>
          <w:szCs w:val="24"/>
        </w:rPr>
        <w:t xml:space="preserve">2.1.5. Принять и оплатить выполненные Подрядчиком Работы на условиях, по цене и </w:t>
      </w:r>
    </w:p>
    <w:p>
      <w:pPr>
        <w:pStyle w:val="Normal"/>
        <w:widowControl w:val="false"/>
        <w:tabs>
          <w:tab w:val="clear" w:pos="708"/>
          <w:tab w:val="left" w:pos="709" w:leader="none"/>
        </w:tabs>
        <w:spacing w:lineRule="auto" w:line="240"/>
        <w:ind w:hanging="0"/>
        <w:rPr>
          <w:sz w:val="24"/>
          <w:szCs w:val="24"/>
        </w:rPr>
      </w:pPr>
      <w:r>
        <w:rPr>
          <w:bCs/>
          <w:sz w:val="24"/>
          <w:szCs w:val="24"/>
        </w:rPr>
        <w:t>в сроки, предусмотренные Договором.</w:t>
      </w:r>
    </w:p>
    <w:p>
      <w:pPr>
        <w:pStyle w:val="Normal"/>
        <w:widowControl w:val="false"/>
        <w:tabs>
          <w:tab w:val="clear" w:pos="708"/>
          <w:tab w:val="left" w:pos="709" w:leader="none"/>
        </w:tabs>
        <w:spacing w:lineRule="auto" w:line="240"/>
        <w:rPr>
          <w:bCs/>
          <w:sz w:val="24"/>
          <w:szCs w:val="24"/>
        </w:rPr>
      </w:pPr>
      <w:r>
        <w:rPr>
          <w:bCs/>
          <w:sz w:val="24"/>
          <w:szCs w:val="24"/>
        </w:rPr>
        <w:t xml:space="preserve">  </w:t>
      </w:r>
      <w:r>
        <w:rPr>
          <w:bCs/>
          <w:sz w:val="24"/>
          <w:szCs w:val="24"/>
        </w:rPr>
        <w:t>2.1.6. Производить освидетельствование (приемку) Скрытых работ.</w:t>
      </w:r>
    </w:p>
    <w:p>
      <w:pPr>
        <w:pStyle w:val="16"/>
        <w:numPr>
          <w:ilvl w:val="0"/>
          <w:numId w:val="0"/>
        </w:numPr>
        <w:tabs>
          <w:tab w:val="clear" w:pos="1418"/>
          <w:tab w:val="left" w:pos="0" w:leader="none"/>
        </w:tabs>
        <w:ind w:hanging="0" w:left="0"/>
        <w:rPr/>
      </w:pPr>
      <w:r>
        <w:rPr/>
        <w:t xml:space="preserve">           </w:t>
      </w:r>
      <w:r>
        <w:rPr/>
        <w:t>2.1.7. В течение 10 (десяти) рабочих дней с даты следующей за датой заключения договора, предоставить доступ Подрядчику для размещения Исполнительной документации (далее - ИД) в электронном виде на сетевом ресурсе Группы РусГидро (далее - сетевой ресурс), в соответствии с Приложением № 19 к Договору.</w:t>
      </w:r>
    </w:p>
    <w:p>
      <w:pPr>
        <w:pStyle w:val="Normal"/>
        <w:widowControl w:val="false"/>
        <w:tabs>
          <w:tab w:val="clear" w:pos="708"/>
          <w:tab w:val="left" w:pos="709" w:leader="none"/>
        </w:tabs>
        <w:spacing w:lineRule="auto" w:line="240"/>
        <w:ind w:hanging="0" w:left="709"/>
        <w:rPr>
          <w:bCs/>
          <w:sz w:val="24"/>
          <w:szCs w:val="24"/>
        </w:rPr>
      </w:pPr>
      <w:r>
        <w:rPr>
          <w:bCs/>
          <w:sz w:val="24"/>
          <w:szCs w:val="24"/>
        </w:rPr>
        <w:t>2.1.8. Выполнять иные обязанности, предусмотренные Договором.</w:t>
      </w:r>
    </w:p>
    <w:p>
      <w:pPr>
        <w:pStyle w:val="ListParagraph"/>
        <w:widowControl w:val="false"/>
        <w:numPr>
          <w:ilvl w:val="1"/>
          <w:numId w:val="3"/>
        </w:numPr>
        <w:tabs>
          <w:tab w:val="clear" w:pos="708"/>
          <w:tab w:val="left" w:pos="1134" w:leader="none"/>
        </w:tabs>
        <w:ind w:firstLine="709" w:left="0"/>
        <w:jc w:val="both"/>
        <w:rPr>
          <w:bCs/>
        </w:rPr>
      </w:pPr>
      <w:r>
        <w:rPr>
          <w:bCs/>
          <w:u w:val="single"/>
        </w:rPr>
        <w:t>Заказчик имеет право</w:t>
      </w:r>
      <w:r>
        <w:rPr>
          <w:bCs/>
        </w:rPr>
        <w:t>:</w:t>
      </w:r>
    </w:p>
    <w:p>
      <w:pPr>
        <w:pStyle w:val="ListParagraph"/>
        <w:widowControl w:val="false"/>
        <w:numPr>
          <w:ilvl w:val="2"/>
          <w:numId w:val="3"/>
        </w:numPr>
        <w:tabs>
          <w:tab w:val="clear" w:pos="708"/>
          <w:tab w:val="left" w:pos="1418" w:leader="none"/>
        </w:tabs>
        <w:ind w:firstLine="709" w:left="0"/>
        <w:jc w:val="both"/>
        <w:rPr>
          <w:bCs/>
        </w:rPr>
      </w:pPr>
      <w:r>
        <w:rPr>
          <w:bCs/>
        </w:rPr>
        <w:t>Самостоятельно или с привлечением третьих лиц осуществлять контроль, в том числе строительный, и надзор за ходом и качеством выполняемых Подрядчиком и Субподрядчиками по Договору Работ, соблюдением сроков и качеством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pPr>
        <w:pStyle w:val="ListParagraph"/>
        <w:widowControl w:val="false"/>
        <w:numPr>
          <w:ilvl w:val="2"/>
          <w:numId w:val="3"/>
        </w:numPr>
        <w:tabs>
          <w:tab w:val="clear" w:pos="708"/>
          <w:tab w:val="left" w:pos="1418" w:leader="none"/>
        </w:tabs>
        <w:ind w:firstLine="709" w:left="0"/>
        <w:jc w:val="both"/>
        <w:rPr>
          <w:bCs/>
        </w:rPr>
      </w:pPr>
      <w:r>
        <w:rPr>
          <w:bCs/>
        </w:rPr>
        <w:t xml:space="preserve">Круглосуточно осуществлять доступ к месту производства Работ. </w:t>
      </w:r>
    </w:p>
    <w:p>
      <w:pPr>
        <w:pStyle w:val="ListParagraph"/>
        <w:widowControl w:val="false"/>
        <w:numPr>
          <w:ilvl w:val="2"/>
          <w:numId w:val="3"/>
        </w:numPr>
        <w:tabs>
          <w:tab w:val="clear" w:pos="708"/>
          <w:tab w:val="left" w:pos="1418" w:leader="none"/>
        </w:tabs>
        <w:ind w:firstLine="709" w:left="0"/>
        <w:jc w:val="both"/>
        <w:rPr>
          <w:bCs/>
        </w:rPr>
      </w:pPr>
      <w:bookmarkStart w:id="10" w:name="_Ref361334652"/>
      <w:r>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при обнаружении отступлений от условий Договора, в том числе нарушений сроков и / или качества выполнения Работ, требований Рабочей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0"/>
      <w:r>
        <w:rPr>
          <w:bCs/>
        </w:rPr>
        <w:t xml:space="preserve"> </w:t>
      </w:r>
    </w:p>
    <w:p>
      <w:pPr>
        <w:pStyle w:val="ListParagraph"/>
        <w:widowControl w:val="false"/>
        <w:numPr>
          <w:ilvl w:val="2"/>
          <w:numId w:val="3"/>
        </w:numPr>
        <w:tabs>
          <w:tab w:val="clear" w:pos="708"/>
          <w:tab w:val="left" w:pos="1418" w:leader="none"/>
        </w:tabs>
        <w:ind w:firstLine="709" w:left="0"/>
        <w:jc w:val="both"/>
        <w:rPr>
          <w:bCs/>
        </w:rPr>
      </w:pPr>
      <w:bookmarkStart w:id="11" w:name="_Ref361334468"/>
      <w:r>
        <w:rPr>
          <w:bCs/>
        </w:rPr>
        <w:t>Отстранить от работы, 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 после устранения нарушений.</w:t>
      </w:r>
      <w:bookmarkEnd w:id="11"/>
    </w:p>
    <w:p>
      <w:pPr>
        <w:pStyle w:val="ListParagraph"/>
        <w:widowControl w:val="false"/>
        <w:numPr>
          <w:ilvl w:val="2"/>
          <w:numId w:val="3"/>
        </w:numPr>
        <w:tabs>
          <w:tab w:val="clear" w:pos="708"/>
          <w:tab w:val="left" w:pos="1418" w:leader="none"/>
        </w:tabs>
        <w:ind w:firstLine="709" w:left="0"/>
        <w:jc w:val="both"/>
        <w:rPr>
          <w:bCs/>
        </w:rPr>
      </w:pPr>
      <w:bookmarkStart w:id="12" w:name="_Ref361319348"/>
      <w:r>
        <w:rPr>
          <w:bCs/>
        </w:rPr>
        <w:t>Вносить изменения в Технические требования (приложение №1 к Договору) и в Ведомость объемов работ, которая будет разработана на 1 этапе выполнения работ,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Pr>
          <w:bCs/>
        </w:rPr>
        <w:t xml:space="preserve"> При этом изменения в Ведомость объемов работ оформляются дополнительным соглашением к Договору.</w:t>
      </w:r>
    </w:p>
    <w:p>
      <w:pPr>
        <w:pStyle w:val="ListParagraph"/>
        <w:widowControl w:val="false"/>
        <w:numPr>
          <w:ilvl w:val="2"/>
          <w:numId w:val="3"/>
        </w:numPr>
        <w:tabs>
          <w:tab w:val="clear" w:pos="708"/>
          <w:tab w:val="left" w:pos="1418" w:leader="none"/>
        </w:tabs>
        <w:ind w:firstLine="709" w:left="0"/>
        <w:jc w:val="both"/>
        <w:rPr>
          <w:bCs/>
        </w:rPr>
      </w:pPr>
      <w:r>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pPr>
        <w:pStyle w:val="ListParagraph"/>
        <w:widowControl w:val="false"/>
        <w:numPr>
          <w:ilvl w:val="2"/>
          <w:numId w:val="3"/>
        </w:numPr>
        <w:tabs>
          <w:tab w:val="clear" w:pos="708"/>
          <w:tab w:val="left" w:pos="1418" w:leader="none"/>
        </w:tabs>
        <w:ind w:firstLine="709" w:left="0"/>
        <w:jc w:val="both"/>
        <w:rPr>
          <w:bCs/>
        </w:rPr>
      </w:pPr>
      <w:r>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pPr>
        <w:pStyle w:val="ListParagraph"/>
        <w:widowControl w:val="false"/>
        <w:numPr>
          <w:ilvl w:val="2"/>
          <w:numId w:val="3"/>
        </w:numPr>
        <w:tabs>
          <w:tab w:val="clear" w:pos="708"/>
          <w:tab w:val="left" w:pos="567" w:leader="none"/>
          <w:tab w:val="left" w:pos="1418" w:leader="none"/>
        </w:tabs>
        <w:ind w:firstLine="709" w:left="0"/>
        <w:jc w:val="both"/>
        <w:rPr>
          <w:bCs/>
        </w:rPr>
      </w:pPr>
      <w:r>
        <w:rPr>
          <w:bCs/>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pPr>
        <w:pStyle w:val="ListParagraph"/>
        <w:widowControl w:val="false"/>
        <w:tabs>
          <w:tab w:val="clear" w:pos="708"/>
          <w:tab w:val="left" w:pos="567" w:leader="none"/>
          <w:tab w:val="left" w:pos="1418" w:leader="none"/>
        </w:tabs>
        <w:ind w:firstLine="709" w:left="0"/>
        <w:jc w:val="both"/>
        <w:rPr>
          <w:bCs/>
        </w:rPr>
      </w:pPr>
      <w:r>
        <w:rPr>
          <w:bCs/>
        </w:rPr>
        <w:t xml:space="preserve">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pPr>
        <w:pStyle w:val="ListParagraph"/>
        <w:widowControl w:val="false"/>
        <w:numPr>
          <w:ilvl w:val="1"/>
          <w:numId w:val="3"/>
        </w:numPr>
        <w:tabs>
          <w:tab w:val="clear" w:pos="708"/>
          <w:tab w:val="left" w:pos="1134" w:leader="none"/>
        </w:tabs>
        <w:ind w:firstLine="567" w:left="0"/>
        <w:jc w:val="both"/>
        <w:rPr>
          <w:bCs/>
        </w:rPr>
      </w:pPr>
      <w:r>
        <w:rPr>
          <w:bCs/>
          <w:u w:val="single"/>
        </w:rPr>
        <w:t>Подрядчик обязан</w:t>
      </w:r>
      <w:r>
        <w:rPr>
          <w:bCs/>
        </w:rPr>
        <w:t>:</w:t>
      </w:r>
    </w:p>
    <w:p>
      <w:pPr>
        <w:pStyle w:val="ListParagraph"/>
        <w:widowControl w:val="false"/>
        <w:numPr>
          <w:ilvl w:val="2"/>
          <w:numId w:val="3"/>
        </w:numPr>
        <w:tabs>
          <w:tab w:val="clear" w:pos="708"/>
          <w:tab w:val="left" w:pos="1418" w:leader="none"/>
        </w:tabs>
        <w:ind w:firstLine="567" w:left="0"/>
        <w:jc w:val="both"/>
        <w:rPr>
          <w:bCs/>
        </w:rPr>
      </w:pPr>
      <w:r>
        <w:rPr>
          <w:bCs/>
        </w:rPr>
        <w:t>Выполнить Работы в объеме, сроки и с качеством, соответствующим требованиям Договора и Применимого права</w:t>
      </w:r>
      <w:r>
        <w:rPr/>
        <w:t xml:space="preserve"> </w:t>
      </w:r>
      <w:r>
        <w:rPr>
          <w:bCs/>
        </w:rPr>
        <w:t>и сдать их результат Заказчику.</w:t>
      </w:r>
    </w:p>
    <w:p>
      <w:pPr>
        <w:pStyle w:val="ListParagraph"/>
        <w:widowControl w:val="false"/>
        <w:numPr>
          <w:ilvl w:val="2"/>
          <w:numId w:val="3"/>
        </w:numPr>
        <w:tabs>
          <w:tab w:val="clear" w:pos="708"/>
          <w:tab w:val="left" w:pos="1418" w:leader="none"/>
        </w:tabs>
        <w:ind w:firstLine="567" w:left="0"/>
        <w:jc w:val="both"/>
        <w:rPr>
          <w:bCs/>
        </w:rPr>
      </w:pPr>
      <w:r>
        <w:rPr>
          <w:bCs/>
        </w:rPr>
        <w:t>В срок, указанный в пункте</w:t>
      </w:r>
      <w:r>
        <w:rPr>
          <w:bCs/>
          <w:highlight w:val="white"/>
        </w:rPr>
        <w:t xml:space="preserve"> 2.1.2 </w:t>
      </w:r>
      <w:r>
        <w:rPr>
          <w:bCs/>
        </w:rPr>
        <w:t xml:space="preserve">Договора, принять от Заказчика на время выполнения Работ по Договору: </w:t>
      </w:r>
    </w:p>
    <w:p>
      <w:pPr>
        <w:pStyle w:val="ListParagraph"/>
        <w:widowControl w:val="false"/>
        <w:numPr>
          <w:ilvl w:val="0"/>
          <w:numId w:val="17"/>
        </w:numPr>
        <w:tabs>
          <w:tab w:val="clear" w:pos="708"/>
          <w:tab w:val="left" w:pos="1418" w:leader="none"/>
        </w:tabs>
        <w:ind w:firstLine="709" w:left="0"/>
        <w:jc w:val="both"/>
        <w:rPr>
          <w:bCs/>
        </w:rPr>
      </w:pPr>
      <w:r>
        <w:rPr>
          <w:bCs/>
        </w:rPr>
        <w:t>место производства Работ, место (помещение) для складирования Материально-технических ресурсов, оборудования и запасных частей по соответствующим актам сдачи-приемки по форме Приложения № 4 к Договору;</w:t>
      </w:r>
    </w:p>
    <w:p>
      <w:pPr>
        <w:pStyle w:val="ListParagraph"/>
        <w:widowControl w:val="false"/>
        <w:numPr>
          <w:ilvl w:val="0"/>
          <w:numId w:val="17"/>
        </w:numPr>
        <w:tabs>
          <w:tab w:val="clear" w:pos="708"/>
          <w:tab w:val="left" w:pos="1418" w:leader="none"/>
        </w:tabs>
        <w:ind w:firstLine="709" w:left="0"/>
        <w:jc w:val="both"/>
        <w:rPr/>
      </w:pPr>
      <w:r>
        <w:rPr>
          <w:bCs/>
        </w:rPr>
        <w:t xml:space="preserve">техническую и иную документацию, содержащую исходные данные для выполнения Подрядчиком Работ по Договору, по Акту сдачи-приемки технической и иной документации по форме Приложения № 4.1 к Договору. </w:t>
      </w:r>
    </w:p>
    <w:p>
      <w:pPr>
        <w:pStyle w:val="ListParagraph"/>
        <w:numPr>
          <w:ilvl w:val="2"/>
          <w:numId w:val="3"/>
        </w:numPr>
        <w:tabs>
          <w:tab w:val="clear" w:pos="708"/>
          <w:tab w:val="left" w:pos="1418" w:leader="none"/>
        </w:tabs>
        <w:ind w:firstLine="567" w:left="0"/>
        <w:jc w:val="both"/>
        <w:rPr>
          <w:bCs/>
        </w:rPr>
      </w:pPr>
      <w:r>
        <w:rPr>
          <w:bCs/>
        </w:rPr>
        <w:t xml:space="preserve">При приемке места производства Работ, места (помещения) для складирования материально-технических ресурсов,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материалов. </w:t>
      </w:r>
    </w:p>
    <w:p>
      <w:pPr>
        <w:pStyle w:val="ListParagraph"/>
        <w:tabs>
          <w:tab w:val="clear" w:pos="708"/>
          <w:tab w:val="left" w:pos="1418" w:leader="none"/>
        </w:tabs>
        <w:ind w:firstLine="567" w:left="0"/>
        <w:jc w:val="both"/>
        <w:rPr>
          <w:bCs/>
        </w:rPr>
      </w:pPr>
      <w:r>
        <w:rPr>
          <w:bCs/>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w:t>
      </w:r>
    </w:p>
    <w:p>
      <w:pPr>
        <w:pStyle w:val="ListParagraph"/>
        <w:widowControl w:val="false"/>
        <w:numPr>
          <w:ilvl w:val="2"/>
          <w:numId w:val="3"/>
        </w:numPr>
        <w:tabs>
          <w:tab w:val="clear" w:pos="708"/>
          <w:tab w:val="left" w:pos="1418" w:leader="none"/>
        </w:tabs>
        <w:ind w:firstLine="567" w:left="0"/>
        <w:jc w:val="both"/>
        <w:rPr>
          <w:bCs/>
        </w:rPr>
      </w:pPr>
      <w:r>
        <w:rPr>
          <w:bCs/>
        </w:rPr>
        <w:t>Выдать замечания в отношении технической документации, предоставленной Заказчиком, в течение 5 (пяти) рабочих дней с даты принятия её по Акту сдачи-приемки технической и иной документации по форме Приложения № 4.1 к Договору. Отсутствие таких замечаний в указанный срок свидетельствует о проверке Подрядчиком технической документации и лишает Подрядчика права ссылаться на недостатки данной документации в дальнейшем.</w:t>
      </w:r>
    </w:p>
    <w:p>
      <w:pPr>
        <w:pStyle w:val="ListParagraph"/>
        <w:widowControl w:val="false"/>
        <w:numPr>
          <w:ilvl w:val="2"/>
          <w:numId w:val="3"/>
        </w:numPr>
        <w:tabs>
          <w:tab w:val="clear" w:pos="708"/>
          <w:tab w:val="left" w:pos="1418" w:leader="none"/>
        </w:tabs>
        <w:ind w:firstLine="709" w:left="0"/>
        <w:jc w:val="both"/>
        <w:rPr>
          <w:bCs/>
        </w:rPr>
      </w:pPr>
      <w:r>
        <w:rPr>
          <w:bCs/>
        </w:rPr>
        <w:t>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w:t>
      </w:r>
      <w:r>
        <w:rPr>
          <w:bCs/>
          <w:highlight w:val="white"/>
        </w:rPr>
        <w:t xml:space="preserve"> 2.1.3 </w:t>
      </w:r>
      <w:r>
        <w:rPr>
          <w:bCs/>
        </w:rPr>
        <w:t>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При необходимости самостоятельно получить и провести все необходимые согласования технических условий на присоединение (исключительно для целей выполнения Работ) к действующим сетям электроснабжения, водоснабжения, канализации, связи и др. в определяемых точках подключения. Подключение к указанным сетям и коммуникациям Подрядчик осуществляет самостоятельно за свой счет.</w:t>
      </w:r>
    </w:p>
    <w:p>
      <w:pPr>
        <w:pStyle w:val="ListParagraph"/>
        <w:widowControl w:val="false"/>
        <w:numPr>
          <w:ilvl w:val="2"/>
          <w:numId w:val="3"/>
        </w:numPr>
        <w:tabs>
          <w:tab w:val="clear" w:pos="708"/>
          <w:tab w:val="left" w:pos="1418" w:leader="none"/>
        </w:tabs>
        <w:ind w:firstLine="709" w:left="0"/>
        <w:jc w:val="both"/>
        <w:rPr>
          <w:bCs/>
        </w:rPr>
      </w:pPr>
      <w:r>
        <w:rPr>
          <w:bCs/>
        </w:rPr>
        <w:t>До начала выполнения Работ предоставить Заказчику:</w:t>
      </w:r>
    </w:p>
    <w:p>
      <w:pPr>
        <w:pStyle w:val="ListParagraph"/>
        <w:widowControl w:val="false"/>
        <w:numPr>
          <w:ilvl w:val="0"/>
          <w:numId w:val="14"/>
        </w:numPr>
        <w:tabs>
          <w:tab w:val="clear" w:pos="708"/>
          <w:tab w:val="left" w:pos="1418" w:leader="none"/>
        </w:tabs>
        <w:ind w:firstLine="709" w:left="0"/>
        <w:jc w:val="both"/>
        <w:rPr>
          <w:bCs/>
        </w:rPr>
      </w:pPr>
      <w:r>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pPr>
        <w:pStyle w:val="ListParagraph"/>
        <w:widowControl w:val="false"/>
        <w:numPr>
          <w:ilvl w:val="0"/>
          <w:numId w:val="14"/>
        </w:numPr>
        <w:tabs>
          <w:tab w:val="clear" w:pos="708"/>
          <w:tab w:val="left" w:pos="709" w:leader="none"/>
        </w:tabs>
        <w:ind w:firstLine="709" w:left="0"/>
        <w:jc w:val="both"/>
        <w:rPr>
          <w:bCs/>
        </w:rPr>
      </w:pPr>
      <w:r>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pPr>
        <w:pStyle w:val="ListParagraph"/>
        <w:widowControl w:val="false"/>
        <w:numPr>
          <w:ilvl w:val="0"/>
          <w:numId w:val="14"/>
        </w:numPr>
        <w:tabs>
          <w:tab w:val="clear" w:pos="708"/>
          <w:tab w:val="left" w:pos="709" w:leader="none"/>
        </w:tabs>
        <w:ind w:firstLine="709" w:left="0"/>
        <w:jc w:val="both"/>
        <w:rPr>
          <w:bCs/>
        </w:rPr>
      </w:pPr>
      <w:r>
        <w:rPr>
          <w:bCs/>
        </w:rPr>
        <w:t>приказ по предприятию о назначении ответственных за исполнение обязательств по настоящему Договору в целом; за производство отдельных видов работ и их качество; за еженедельное формирование и предоставление Заказчику отчетов о ходе исполнения обязательств по настоящему договору;</w:t>
      </w:r>
    </w:p>
    <w:p>
      <w:pPr>
        <w:pStyle w:val="ListParagraph"/>
        <w:widowControl w:val="false"/>
        <w:numPr>
          <w:ilvl w:val="0"/>
          <w:numId w:val="14"/>
        </w:numPr>
        <w:tabs>
          <w:tab w:val="clear" w:pos="708"/>
          <w:tab w:val="left" w:pos="709" w:leader="none"/>
        </w:tabs>
        <w:ind w:firstLine="709" w:left="0"/>
        <w:jc w:val="both"/>
        <w:rPr>
          <w:bCs/>
        </w:rPr>
      </w:pPr>
      <w:r>
        <w:rPr>
          <w:bCs/>
        </w:rPr>
        <w:t>копии документов, подтверждающих наличие у Подрядчика и его персонала допусков, разрешений и лицензий, необходимых для выполнения Работ;</w:t>
      </w:r>
    </w:p>
    <w:p>
      <w:pPr>
        <w:pStyle w:val="ListParagraph"/>
        <w:widowControl w:val="false"/>
        <w:numPr>
          <w:ilvl w:val="0"/>
          <w:numId w:val="14"/>
        </w:numPr>
        <w:tabs>
          <w:tab w:val="clear" w:pos="708"/>
          <w:tab w:val="left" w:pos="709" w:leader="none"/>
        </w:tabs>
        <w:ind w:firstLine="709" w:left="0"/>
        <w:jc w:val="both"/>
        <w:rPr>
          <w:bCs/>
        </w:rPr>
      </w:pPr>
      <w:r>
        <w:rPr>
          <w:bCs/>
        </w:rPr>
        <w:t>пофамильные списки персонала, привлекаемого для выполнения Работ, а также копии всех документов, подтверждающих его квалификацию.</w:t>
      </w:r>
    </w:p>
    <w:p>
      <w:pPr>
        <w:pStyle w:val="ListParagraph"/>
        <w:widowControl w:val="false"/>
        <w:numPr>
          <w:ilvl w:val="0"/>
          <w:numId w:val="0"/>
        </w:numPr>
        <w:tabs>
          <w:tab w:val="clear" w:pos="708"/>
          <w:tab w:val="left" w:pos="709" w:leader="none"/>
        </w:tabs>
        <w:suppressAutoHyphens w:val="true"/>
        <w:bidi w:val="0"/>
        <w:spacing w:lineRule="auto" w:line="240" w:before="0" w:after="0"/>
        <w:ind w:firstLine="680" w:left="0" w:right="0"/>
        <w:contextualSpacing/>
        <w:jc w:val="both"/>
        <w:rPr>
          <w:bCs/>
        </w:rPr>
      </w:pPr>
      <w:r>
        <w:rPr>
          <w:bCs/>
        </w:rPr>
        <w:t xml:space="preserve">Подрядчик до начала выполнения работ на объекте Заказчика, направляет Заказчику сопроводительное письмо (по форме Приложение № 10 к Договору), с указанием цели командировки/ направления, а также список работников, с предоставлением прав ответственных за безопасное выполнение работ на объектах Заказчика с указанием группы по электробезопасности и разряда работников; копий приказов о назначении лиц, ответственных за соблюдение требований охраны труда, пожарной безопасности на объекте выполнения работ; лицах имеющих право подписи актов-допусков. </w:t>
      </w:r>
    </w:p>
    <w:p>
      <w:pPr>
        <w:pStyle w:val="ListParagraph"/>
        <w:widowControl w:val="false"/>
        <w:numPr>
          <w:ilvl w:val="0"/>
          <w:numId w:val="14"/>
        </w:numPr>
        <w:tabs>
          <w:tab w:val="clear" w:pos="708"/>
          <w:tab w:val="left" w:pos="709" w:leader="none"/>
        </w:tabs>
        <w:ind w:firstLine="709" w:left="0"/>
        <w:jc w:val="both"/>
        <w:rPr>
          <w:bCs/>
        </w:rPr>
      </w:pPr>
      <w:r>
        <w:rPr>
          <w:bCs/>
        </w:rPr>
        <w:t>Проект Производства Работ (ППР) с указанием общих методов и технологии работ, организационных вопросов с приложением графика выполнения работ (с указанием физических объёмов, потребных трудозатрат и материалов).  В течение 3 (Трех) календарных дней с даты выдачи замечаний Заказчиком Подрядчик устраняет замечания Заказчика и повторно предоставляет Заказчику ППР.</w:t>
      </w:r>
    </w:p>
    <w:p>
      <w:pPr>
        <w:pStyle w:val="ListParagraph"/>
        <w:widowControl w:val="false"/>
        <w:numPr>
          <w:ilvl w:val="2"/>
          <w:numId w:val="3"/>
        </w:numPr>
        <w:tabs>
          <w:tab w:val="clear" w:pos="708"/>
          <w:tab w:val="left" w:pos="1418" w:leader="none"/>
        </w:tabs>
        <w:ind w:firstLine="709" w:left="0"/>
        <w:jc w:val="both"/>
        <w:rPr>
          <w:bCs/>
        </w:rPr>
      </w:pPr>
      <w:r>
        <w:rPr>
          <w:bCs/>
        </w:rPr>
        <w:t>Обеспечить сохранность переданных Заказчиком по соответствующим актам сдачи-приемки мест, технической и иной документации, а также возврат их Заказчику в первоначальном состоянии с учетом естественного износа не позднее даты окончания выполнения Работ, указанной в пункте</w:t>
      </w:r>
      <w:r>
        <w:rPr>
          <w:bCs/>
          <w:highlight w:val="white"/>
        </w:rPr>
        <w:t xml:space="preserve"> 1.6.2 </w:t>
      </w:r>
      <w:r>
        <w:rPr>
          <w:bCs/>
        </w:rPr>
        <w:t>Договора, либо, в случаях прекращения (расторжения) Договора, указанных в пункт</w:t>
      </w:r>
      <w:r>
        <w:rPr>
          <w:bCs/>
          <w:highlight w:val="white"/>
        </w:rPr>
        <w:t xml:space="preserve">е 2.2.3 </w:t>
      </w:r>
      <w:r>
        <w:rPr>
          <w:bCs/>
        </w:rPr>
        <w:t xml:space="preserve">и разделе 15 Договора, – не позднее 3 (трех) рабочих дней с даты получения соответствующего требования Заказчика. </w:t>
      </w:r>
    </w:p>
    <w:p>
      <w:pPr>
        <w:pStyle w:val="ListParagraph"/>
        <w:widowControl w:val="false"/>
        <w:numPr>
          <w:ilvl w:val="2"/>
          <w:numId w:val="3"/>
        </w:numPr>
        <w:tabs>
          <w:tab w:val="clear" w:pos="708"/>
          <w:tab w:val="left" w:pos="1418" w:leader="none"/>
        </w:tabs>
        <w:ind w:firstLine="709" w:left="0"/>
        <w:jc w:val="both"/>
        <w:rPr>
          <w:color w:themeColor="text1" w:val="000000"/>
        </w:rPr>
      </w:pPr>
      <w:r>
        <w:rPr>
          <w:color w:themeColor="text1" w:val="000000"/>
        </w:rPr>
        <w:t>Обеспечить наличие допусков, разрешений и лицензий, необходимых для производства Работ.</w:t>
      </w:r>
    </w:p>
    <w:p>
      <w:pPr>
        <w:pStyle w:val="ListParagraph"/>
        <w:widowControl w:val="false"/>
        <w:tabs>
          <w:tab w:val="clear" w:pos="708"/>
          <w:tab w:val="left" w:pos="1418" w:leader="none"/>
        </w:tabs>
        <w:ind w:firstLine="709" w:left="0"/>
        <w:jc w:val="both"/>
        <w:rPr>
          <w:color w:themeColor="text1" w:val="000000"/>
        </w:rPr>
      </w:pPr>
      <w:r>
        <w:rPr>
          <w:color w:themeColor="text1" w:val="000000"/>
        </w:rPr>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Pr>
          <w:bCs/>
          <w:color w:themeColor="text1" w:val="000000"/>
        </w:rPr>
        <w:t>, в том числе указанных в Приложении № 5 к Договору</w:t>
      </w:r>
      <w:r>
        <w:rPr>
          <w:color w:themeColor="text1" w:val="000000"/>
        </w:rPr>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pPr>
        <w:pStyle w:val="ListParagraph"/>
        <w:widowControl w:val="false"/>
        <w:tabs>
          <w:tab w:val="clear" w:pos="708"/>
          <w:tab w:val="left" w:pos="1418" w:leader="none"/>
        </w:tabs>
        <w:ind w:firstLine="709" w:left="0"/>
        <w:jc w:val="both"/>
        <w:rPr>
          <w:color w:themeColor="text1" w:val="000000"/>
        </w:rPr>
      </w:pPr>
      <w:r>
        <w:rPr>
          <w:color w:themeColor="text1" w:val="000000"/>
        </w:rPr>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pPr>
        <w:pStyle w:val="ListParagraph"/>
        <w:widowControl w:val="false"/>
        <w:tabs>
          <w:tab w:val="clear" w:pos="708"/>
          <w:tab w:val="left" w:pos="1418" w:leader="none"/>
        </w:tabs>
        <w:ind w:firstLine="709" w:left="0"/>
        <w:jc w:val="both"/>
        <w:rPr>
          <w:color w:themeColor="text1" w:val="000000"/>
        </w:rPr>
      </w:pPr>
      <w:r>
        <w:rPr>
          <w:color w:themeColor="text1" w:val="000000"/>
        </w:rPr>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12.1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pPr>
        <w:pStyle w:val="ListParagraph"/>
        <w:widowControl w:val="false"/>
        <w:numPr>
          <w:ilvl w:val="2"/>
          <w:numId w:val="3"/>
        </w:numPr>
        <w:tabs>
          <w:tab w:val="clear" w:pos="708"/>
          <w:tab w:val="left" w:pos="1418" w:leader="none"/>
        </w:tabs>
        <w:ind w:firstLine="710" w:left="0"/>
        <w:jc w:val="both"/>
        <w:rPr>
          <w:bCs/>
          <w:color w:themeColor="text1" w:val="000000"/>
          <w:highlight w:val="white"/>
        </w:rPr>
      </w:pPr>
      <w:r>
        <w:rPr>
          <w:color w:themeColor="text1" w:val="000000"/>
        </w:rPr>
        <w:t>Выполнять</w:t>
      </w:r>
      <w:r>
        <w:rPr>
          <w:bCs/>
          <w:color w:themeColor="text1" w:val="000000"/>
        </w:rPr>
        <w:t xml:space="preserve"> Работы силами квалифицированных специалистов (в том числе с учетом требований п. 2.3.10.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и не имеющих неснятой или непогашенной судимости, не состоящих на учете в учреждениях органов здравоохранения по поводу психического </w:t>
      </w:r>
      <w:r>
        <w:rPr>
          <w:bCs/>
          <w:color w:themeColor="text1" w:val="000000"/>
          <w:highlight w:val="white"/>
        </w:rPr>
        <w:t xml:space="preserve">заболевания, алкоголизма или наркомании. </w:t>
      </w:r>
    </w:p>
    <w:p>
      <w:pPr>
        <w:pStyle w:val="ListParagraph"/>
        <w:widowControl w:val="false"/>
        <w:numPr>
          <w:ilvl w:val="2"/>
          <w:numId w:val="3"/>
        </w:numPr>
        <w:tabs>
          <w:tab w:val="clear" w:pos="708"/>
          <w:tab w:val="left" w:pos="1418" w:leader="none"/>
        </w:tabs>
        <w:ind w:firstLine="709" w:left="0"/>
        <w:jc w:val="both"/>
        <w:rPr>
          <w:color w:themeColor="text1" w:val="000000"/>
          <w:highlight w:val="white"/>
        </w:rPr>
      </w:pPr>
      <w:r>
        <w:rPr>
          <w:color w:themeColor="text1" w:val="000000"/>
          <w:highlight w:val="white"/>
        </w:rPr>
        <w:t>Обеспечить:</w:t>
      </w:r>
    </w:p>
    <w:p>
      <w:pPr>
        <w:pStyle w:val="ListParagraph"/>
        <w:numPr>
          <w:ilvl w:val="0"/>
          <w:numId w:val="25"/>
        </w:numPr>
        <w:shd w:val="clear" w:color="auto" w:fill="FFFFFF"/>
        <w:tabs>
          <w:tab w:val="clear" w:pos="708"/>
          <w:tab w:val="left" w:pos="567" w:leader="none"/>
          <w:tab w:val="left" w:pos="1418" w:leader="none"/>
        </w:tabs>
        <w:ind w:firstLine="709" w:left="0"/>
        <w:jc w:val="both"/>
        <w:rPr>
          <w:bCs/>
        </w:rPr>
      </w:pPr>
      <w:r>
        <w:rPr>
          <w:bCs/>
        </w:rPr>
        <w:t xml:space="preserve">участие в саморегулируемой организации, основанной на членстве лиц, </w:t>
      </w:r>
      <w:r>
        <w:rPr/>
        <w:t>выполняющих подготовку проектной документации</w:t>
      </w:r>
      <w:r>
        <w:rPr>
          <w:bCs/>
        </w:rPr>
        <w:t xml:space="preserve"> и осуществляющих строительство</w:t>
      </w:r>
      <w:r>
        <w:rPr>
          <w:rStyle w:val="FootnoteReference"/>
          <w:bCs/>
        </w:rPr>
        <w:footnoteReference w:id="2"/>
      </w:r>
      <w:r>
        <w:rPr>
          <w:bCs/>
        </w:rPr>
        <w:t xml:space="preserve"> (с учетом исключений, предусмотренных законодательством Российской Федерации</w:t>
      </w:r>
      <w:r>
        <w:rPr>
          <w:rStyle w:val="FootnoteReference"/>
          <w:bCs/>
        </w:rPr>
        <w:footnoteReference w:id="3"/>
      </w:r>
      <w:r>
        <w:rPr>
          <w:bCs/>
        </w:rPr>
        <w:t>);</w:t>
      </w:r>
    </w:p>
    <w:p>
      <w:pPr>
        <w:pStyle w:val="ListParagraph"/>
        <w:numPr>
          <w:ilvl w:val="0"/>
          <w:numId w:val="25"/>
        </w:numPr>
        <w:shd w:val="clear" w:color="auto" w:fill="FFFFFF"/>
        <w:tabs>
          <w:tab w:val="clear" w:pos="708"/>
          <w:tab w:val="left" w:pos="567" w:leader="none"/>
          <w:tab w:val="left" w:pos="1418" w:leader="none"/>
        </w:tabs>
        <w:ind w:firstLine="709" w:left="0"/>
        <w:jc w:val="both"/>
        <w:rPr>
          <w:bCs/>
        </w:rPr>
      </w:pPr>
      <w:r>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Pr/>
        <w:t xml:space="preserve"> </w:t>
      </w:r>
      <w:r>
        <w:rPr>
          <w:bCs/>
        </w:rPr>
        <w:t>стоимости выполнения Работ по Договору;</w:t>
      </w:r>
    </w:p>
    <w:p>
      <w:pPr>
        <w:pStyle w:val="ListParagraph"/>
        <w:numPr>
          <w:ilvl w:val="0"/>
          <w:numId w:val="25"/>
        </w:numPr>
        <w:tabs>
          <w:tab w:val="clear" w:pos="708"/>
          <w:tab w:val="left" w:pos="567" w:leader="none"/>
        </w:tabs>
        <w:ind w:firstLine="709" w:left="0"/>
        <w:jc w:val="both"/>
        <w:rPr>
          <w:bCs/>
        </w:rPr>
      </w:pPr>
      <w:r>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r>
        <w:rPr>
          <w:rStyle w:val="FootnoteReference"/>
          <w:bCs/>
        </w:rPr>
        <w:footnoteReference w:id="4"/>
      </w:r>
      <w:r>
        <w:rPr>
          <w:bCs/>
        </w:rPr>
        <w:t>.</w:t>
      </w:r>
    </w:p>
    <w:p>
      <w:pPr>
        <w:pStyle w:val="ListParagraph"/>
        <w:widowControl w:val="false"/>
        <w:numPr>
          <w:ilvl w:val="2"/>
          <w:numId w:val="3"/>
        </w:numPr>
        <w:tabs>
          <w:tab w:val="clear" w:pos="708"/>
          <w:tab w:val="left" w:pos="1418" w:leader="none"/>
        </w:tabs>
        <w:ind w:firstLine="710" w:left="0"/>
        <w:jc w:val="both"/>
        <w:rPr/>
      </w:pPr>
      <w:r>
        <w:rPr/>
        <w:t>Обеспечить самостоятельно от своего имени приобретение Материально-технических ресурсов и оборудования, необходимых для реализации работ на Объекте.</w:t>
      </w:r>
    </w:p>
    <w:p>
      <w:pPr>
        <w:pStyle w:val="ListParagraph"/>
        <w:widowControl w:val="false"/>
        <w:numPr>
          <w:ilvl w:val="2"/>
          <w:numId w:val="3"/>
        </w:numPr>
        <w:tabs>
          <w:tab w:val="clear" w:pos="708"/>
          <w:tab w:val="left" w:pos="1418" w:leader="none"/>
        </w:tabs>
        <w:ind w:firstLine="710" w:left="0"/>
        <w:jc w:val="both"/>
        <w:rPr/>
      </w:pPr>
      <w:r>
        <w:rPr/>
        <w:t xml:space="preserve"> </w:t>
      </w:r>
      <w:r>
        <w:rPr/>
        <w:t xml:space="preserve">Проследить за тем, чтобы все предоставляемые Материально-технические ресурсы на момент доставки на </w:t>
      </w:r>
      <w:r>
        <w:rPr>
          <w:bCs/>
        </w:rPr>
        <w:t>Место производства Работ</w:t>
      </w:r>
      <w:r>
        <w:rPr/>
        <w:t xml:space="preserve"> являлись новыми (не более 12 месяцев с даты изготовления) и не были использованы ранее, а также соответствовали Рабочей документации, требованиям Применимого права, являлись полностью пригодными для использования по предназначению, не имели дефектов и недостатков, были упакованы в соответствии с условиями и сроками хранения.</w:t>
      </w:r>
    </w:p>
    <w:p>
      <w:pPr>
        <w:pStyle w:val="ListParagraph"/>
        <w:widowControl w:val="false"/>
        <w:numPr>
          <w:ilvl w:val="2"/>
          <w:numId w:val="3"/>
        </w:numPr>
        <w:tabs>
          <w:tab w:val="clear" w:pos="708"/>
          <w:tab w:val="left" w:pos="1418" w:leader="none"/>
        </w:tabs>
        <w:ind w:firstLine="710" w:left="0"/>
        <w:jc w:val="both"/>
        <w:rPr>
          <w:bCs/>
        </w:rPr>
      </w:pPr>
      <w:r>
        <w:rPr>
          <w:bCs/>
        </w:rPr>
        <w:t xml:space="preserve">Организовать в порядке, установленном </w:t>
      </w:r>
      <w:r>
        <w:rPr>
          <w:bCs/>
          <w:highlight w:val="white"/>
        </w:rPr>
        <w:t xml:space="preserve">Приложением № 12 </w:t>
      </w:r>
      <w:r>
        <w:rPr>
          <w:bCs/>
        </w:rPr>
        <w:t xml:space="preserve">к Договору, контроль качества поступающих Материально-технических ресурсов и оборудования,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и оборудования. Копии таких сертификатов, технических паспортов и иных документов должны быть предоставлены Заказчику до начала производства Работ. </w:t>
      </w:r>
    </w:p>
    <w:p>
      <w:pPr>
        <w:pStyle w:val="ListParagraph"/>
        <w:widowControl w:val="false"/>
        <w:tabs>
          <w:tab w:val="clear" w:pos="708"/>
          <w:tab w:val="left" w:pos="1418" w:leader="none"/>
        </w:tabs>
        <w:ind w:firstLine="710" w:left="0"/>
        <w:jc w:val="both"/>
        <w:rPr>
          <w:bCs/>
        </w:rPr>
      </w:pPr>
      <w:r>
        <w:rPr>
          <w:bCs/>
        </w:rPr>
        <w:t>Подрядчик обязуется письменно согласовать с Заказчиком планируемые к использованию Материально-технические ресурсы и оборудование до начала производства Работ в случае, если они не соответствуют условиям Договора.</w:t>
      </w:r>
    </w:p>
    <w:p>
      <w:pPr>
        <w:pStyle w:val="ListParagraph"/>
        <w:widowControl w:val="false"/>
        <w:numPr>
          <w:ilvl w:val="2"/>
          <w:numId w:val="3"/>
        </w:numPr>
        <w:tabs>
          <w:tab w:val="clear" w:pos="708"/>
          <w:tab w:val="left" w:pos="1418" w:leader="none"/>
        </w:tabs>
        <w:ind w:firstLine="709" w:left="0"/>
        <w:jc w:val="both"/>
        <w:rPr>
          <w:bCs/>
        </w:rPr>
      </w:pPr>
      <w:r>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pPr>
        <w:pStyle w:val="ListParagraph"/>
        <w:widowControl w:val="false"/>
        <w:numPr>
          <w:ilvl w:val="2"/>
          <w:numId w:val="3"/>
        </w:numPr>
        <w:tabs>
          <w:tab w:val="clear" w:pos="708"/>
          <w:tab w:val="left" w:pos="1418" w:leader="none"/>
        </w:tabs>
        <w:ind w:firstLine="709" w:left="0"/>
        <w:jc w:val="both"/>
        <w:rPr>
          <w:bCs/>
        </w:rPr>
      </w:pPr>
      <w:r>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pPr>
        <w:pStyle w:val="ListParagraph"/>
        <w:widowControl w:val="false"/>
        <w:numPr>
          <w:ilvl w:val="2"/>
          <w:numId w:val="3"/>
        </w:numPr>
        <w:tabs>
          <w:tab w:val="clear" w:pos="708"/>
          <w:tab w:val="left" w:pos="1418" w:leader="none"/>
        </w:tabs>
        <w:ind w:firstLine="709" w:left="0"/>
        <w:jc w:val="both"/>
        <w:rPr>
          <w:bCs/>
        </w:rPr>
      </w:pPr>
      <w:r>
        <w:rPr>
          <w:bCs/>
        </w:rPr>
        <w:t>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w:t>
      </w:r>
    </w:p>
    <w:p>
      <w:pPr>
        <w:pStyle w:val="ListParagraph"/>
        <w:widowControl w:val="false"/>
        <w:numPr>
          <w:ilvl w:val="2"/>
          <w:numId w:val="3"/>
        </w:numPr>
        <w:tabs>
          <w:tab w:val="clear" w:pos="708"/>
          <w:tab w:val="left" w:pos="1418" w:leader="none"/>
        </w:tabs>
        <w:ind w:firstLine="710" w:left="0"/>
        <w:jc w:val="both"/>
        <w:rPr>
          <w:bCs/>
        </w:rPr>
      </w:pPr>
      <w:r>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pPr>
        <w:pStyle w:val="ListParagraph"/>
        <w:widowControl w:val="false"/>
        <w:numPr>
          <w:ilvl w:val="2"/>
          <w:numId w:val="3"/>
        </w:numPr>
        <w:tabs>
          <w:tab w:val="clear" w:pos="708"/>
          <w:tab w:val="left" w:pos="1418" w:leader="none"/>
        </w:tabs>
        <w:ind w:firstLine="709" w:left="0"/>
        <w:jc w:val="both"/>
        <w:rPr>
          <w:bCs/>
        </w:rPr>
      </w:pPr>
      <w:r>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pPr>
        <w:pStyle w:val="ListParagraph"/>
        <w:widowControl w:val="false"/>
        <w:numPr>
          <w:ilvl w:val="2"/>
          <w:numId w:val="3"/>
        </w:numPr>
        <w:tabs>
          <w:tab w:val="clear" w:pos="708"/>
          <w:tab w:val="left" w:pos="1418" w:leader="none"/>
        </w:tabs>
        <w:ind w:firstLine="710" w:left="0"/>
        <w:jc w:val="both"/>
        <w:rPr>
          <w:bCs/>
        </w:rPr>
      </w:pPr>
      <w:r>
        <w:rPr/>
        <w:t>В случаях, когда это необходимо согласно Применимому Праву, направить в компетентный Государственный Орган уведомление о начале строительных и монтажных Работ.</w:t>
      </w:r>
    </w:p>
    <w:p>
      <w:pPr>
        <w:pStyle w:val="ListParagraph"/>
        <w:widowControl w:val="false"/>
        <w:numPr>
          <w:ilvl w:val="2"/>
          <w:numId w:val="3"/>
        </w:numPr>
        <w:tabs>
          <w:tab w:val="clear" w:pos="708"/>
          <w:tab w:val="left" w:pos="1418" w:leader="none"/>
        </w:tabs>
        <w:ind w:firstLine="710" w:left="0"/>
        <w:jc w:val="both"/>
        <w:rPr/>
      </w:pPr>
      <w:r>
        <w:rPr/>
        <w:t>В порядке и по формам, установленным нормами Применимого Права</w:t>
      </w:r>
      <w:r>
        <w:rPr>
          <w:bCs/>
        </w:rPr>
        <w:t>, в том числе Приказом Министерства строительства и жилищно-коммунального хозяйства Российской Федерации от 16 мая 2023г. №344/пр.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w:t>
      </w:r>
      <w:r>
        <w:rPr/>
        <w:t>, подготовить и поддерживать в обновленном виде полный комплект Исполнительной документации, обеспечивая достоверность и полноту фактических сведений о выполненных Работах.</w:t>
        <w:tab/>
        <w:br/>
        <w:t xml:space="preserve">           Исполнительная документация должна храниться на Месте производства работ и использоваться исключительно в целях, предусмотренных в Договоре.</w:t>
      </w:r>
    </w:p>
    <w:p>
      <w:pPr>
        <w:pStyle w:val="ListParagraph"/>
        <w:widowControl w:val="false"/>
        <w:numPr>
          <w:ilvl w:val="2"/>
          <w:numId w:val="3"/>
        </w:numPr>
        <w:tabs>
          <w:tab w:val="clear" w:pos="708"/>
          <w:tab w:val="left" w:pos="1418" w:leader="none"/>
        </w:tabs>
        <w:ind w:firstLine="709" w:left="0"/>
        <w:jc w:val="both"/>
        <w:rPr>
          <w:bCs/>
        </w:rPr>
      </w:pPr>
      <w:r>
        <w:rPr>
          <w:bCs/>
        </w:rPr>
        <w:t>По объекту производства работ подготовить и регулярно (ежедневно) вести общий (форма КС-6), специальный журналы производства работ и журнал учета выполненных работ (форма КС-6а).</w:t>
      </w:r>
    </w:p>
    <w:p>
      <w:pPr>
        <w:pStyle w:val="ListParagraph"/>
        <w:widowControl w:val="false"/>
        <w:numPr>
          <w:ilvl w:val="2"/>
          <w:numId w:val="3"/>
        </w:numPr>
        <w:tabs>
          <w:tab w:val="clear" w:pos="708"/>
          <w:tab w:val="left" w:pos="1418" w:leader="none"/>
        </w:tabs>
        <w:ind w:firstLine="709" w:left="0"/>
        <w:jc w:val="both"/>
        <w:rPr>
          <w:bCs/>
        </w:rPr>
      </w:pPr>
      <w:r>
        <w:rPr>
          <w:bCs/>
        </w:rPr>
        <w:t xml:space="preserve">Вести общий журнал производства работ на русском языке. </w:t>
      </w:r>
    </w:p>
    <w:p>
      <w:pPr>
        <w:pStyle w:val="ListParagraph"/>
        <w:widowControl w:val="false"/>
        <w:tabs>
          <w:tab w:val="clear" w:pos="708"/>
          <w:tab w:val="left" w:pos="1418" w:leader="none"/>
        </w:tabs>
        <w:ind w:firstLine="709" w:left="0"/>
        <w:jc w:val="both"/>
        <w:rPr>
          <w:bCs/>
        </w:rPr>
      </w:pPr>
      <w:r>
        <w:rPr>
          <w:bCs/>
        </w:rPr>
        <w:t>Форма журнала работ Подрядчиком согласована с Заказчиком и соответствует форме, утвержденной приказом Министерства строительства и жилищно-коммунального хозяйства от 2 декабря 2022 г. №1026пр. Если Заказчик не удовлетворен ходом и качеством работ, применяемых материально-технических ресурсов или записями Подрядчика, то он обязан изложить свое обоснованное мнение в журнале производства работ с указанием срока устранения допущенных отклонений. Подрядчик в течение указанного срока исполняет указания представителя Заказчика, о чем Подрядчик обязан сделать отметку об исполнении в журнале производства работ.</w:t>
      </w:r>
    </w:p>
    <w:p>
      <w:pPr>
        <w:pStyle w:val="ListParagraph"/>
        <w:widowControl w:val="false"/>
        <w:numPr>
          <w:ilvl w:val="2"/>
          <w:numId w:val="3"/>
        </w:numPr>
        <w:tabs>
          <w:tab w:val="clear" w:pos="708"/>
          <w:tab w:val="left" w:pos="1418" w:leader="none"/>
        </w:tabs>
        <w:ind w:firstLine="709" w:left="0"/>
        <w:jc w:val="both"/>
        <w:rPr>
          <w:bCs/>
        </w:rPr>
      </w:pPr>
      <w:r>
        <w:rPr>
          <w:bCs/>
        </w:rPr>
        <w:t xml:space="preserve">Предоставить Заказчику в полном объеме необходимую для приемки Работ оформленную в порядке, установленном СТО РусГидро 01.02.115-2019 «Приёмка и ввод в эксплуатацию. Правила приёмки и ввода в эксплуатацию полностью законченных строительством объектов и отдельных этапов строительства», приемо-сдаточную и исполнительную документацию в 3 (трех) экземплярах на бумажном носителе и </w:t>
      </w:r>
      <w:r>
        <w:rPr>
          <w:rFonts w:eastAsia="Calibri"/>
          <w:lang w:eastAsia="en-US"/>
        </w:rPr>
        <w:t>на электронном носителе</w:t>
      </w:r>
      <w:r>
        <w:rPr>
          <w:bCs/>
        </w:rPr>
        <w:t>:</w:t>
      </w:r>
    </w:p>
    <w:p>
      <w:pPr>
        <w:pStyle w:val="ListParagraph"/>
        <w:widowControl w:val="false"/>
        <w:tabs>
          <w:tab w:val="clear" w:pos="708"/>
          <w:tab w:val="left" w:pos="1418" w:leader="none"/>
        </w:tabs>
        <w:ind w:firstLine="709" w:left="0"/>
        <w:jc w:val="both"/>
        <w:rPr>
          <w:bCs/>
        </w:rPr>
      </w:pPr>
      <w:r>
        <w:rPr>
          <w:bCs/>
        </w:rPr>
        <w:t>- в формате pdf - 1 (один) экземпляр;</w:t>
      </w:r>
    </w:p>
    <w:p>
      <w:pPr>
        <w:pStyle w:val="ListParagraph"/>
        <w:widowControl w:val="false"/>
        <w:tabs>
          <w:tab w:val="clear" w:pos="708"/>
          <w:tab w:val="left" w:pos="1418" w:leader="none"/>
        </w:tabs>
        <w:ind w:firstLine="709" w:left="0"/>
        <w:jc w:val="both"/>
        <w:rPr>
          <w:bCs/>
        </w:rPr>
      </w:pPr>
      <w:r>
        <w:rPr>
          <w:bCs/>
        </w:rPr>
        <w:t>- тестовые документы (акты, протоколы, ведомости и т.п.) в формате doc - 1 (один) экземпляр;</w:t>
      </w:r>
    </w:p>
    <w:p>
      <w:pPr>
        <w:pStyle w:val="ListParagraph"/>
        <w:widowControl w:val="false"/>
        <w:tabs>
          <w:tab w:val="clear" w:pos="708"/>
          <w:tab w:val="left" w:pos="1418" w:leader="none"/>
        </w:tabs>
        <w:ind w:firstLine="709" w:left="0"/>
        <w:jc w:val="both"/>
        <w:rPr/>
      </w:pPr>
      <w:r>
        <w:rPr>
          <w:bCs/>
        </w:rPr>
        <w:t xml:space="preserve">- графические документы (схемы, планы, чертежи и т.п.) в формате dwg или cdw. </w:t>
        <w:tab/>
        <w:br/>
        <w:t xml:space="preserve">           Исполнительная документация должна обеспечивать достоверность и полноту сведений о фактически выполненных Работах.</w:t>
      </w:r>
    </w:p>
    <w:p>
      <w:pPr>
        <w:pStyle w:val="ListParagraph"/>
        <w:widowControl w:val="false"/>
        <w:tabs>
          <w:tab w:val="clear" w:pos="708"/>
          <w:tab w:val="left" w:pos="1418" w:leader="none"/>
        </w:tabs>
        <w:ind w:firstLine="709" w:left="0"/>
        <w:jc w:val="both"/>
        <w:rPr/>
      </w:pPr>
      <w:r>
        <w:rPr>
          <w:color w:themeColor="text1" w:val="000000"/>
          <w:highlight w:val="white"/>
          <w:lang w:eastAsia="en-US"/>
        </w:rPr>
        <w:t>Сформированные комплекты Исполнительной документации размещаются в электронном виде на сетевом ресурсе Группы РусГидро в соответствии с п.2.1.7 Договора.</w:t>
      </w:r>
    </w:p>
    <w:p>
      <w:pPr>
        <w:pStyle w:val="ListParagraph"/>
        <w:widowControl w:val="false"/>
        <w:numPr>
          <w:ilvl w:val="2"/>
          <w:numId w:val="3"/>
        </w:numPr>
        <w:tabs>
          <w:tab w:val="clear" w:pos="708"/>
          <w:tab w:val="left" w:pos="1418" w:leader="none"/>
        </w:tabs>
        <w:ind w:firstLine="709" w:left="0"/>
        <w:jc w:val="both"/>
        <w:rPr>
          <w:bCs/>
        </w:rPr>
      </w:pPr>
      <w:r>
        <w:rPr>
          <w:bCs/>
        </w:rPr>
        <w:t>По требованию Заказчика представлять информацию и пояснения о ходе выполнения Работ, а также документы, полученные Подрядчиком в ходе выполнения своих обязательств по Договору, в том числе копии предписаний контролирующих и надзорных органов, выданных Подрядчику и привлеченным им Субподрядчикам.</w:t>
      </w:r>
    </w:p>
    <w:p>
      <w:pPr>
        <w:pStyle w:val="ListParagraph"/>
        <w:widowControl w:val="false"/>
        <w:numPr>
          <w:ilvl w:val="2"/>
          <w:numId w:val="3"/>
        </w:numPr>
        <w:tabs>
          <w:tab w:val="clear" w:pos="708"/>
          <w:tab w:val="left" w:pos="1418" w:leader="none"/>
        </w:tabs>
        <w:ind w:firstLine="709" w:left="0"/>
        <w:jc w:val="both"/>
        <w:rPr>
          <w:bCs/>
        </w:rPr>
      </w:pPr>
      <w:r>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pPr>
        <w:pStyle w:val="ListParagraph"/>
        <w:widowControl w:val="false"/>
        <w:numPr>
          <w:ilvl w:val="2"/>
          <w:numId w:val="3"/>
        </w:numPr>
        <w:tabs>
          <w:tab w:val="clear" w:pos="708"/>
          <w:tab w:val="left" w:pos="1418" w:leader="none"/>
        </w:tabs>
        <w:ind w:firstLine="709" w:left="0"/>
        <w:jc w:val="both"/>
        <w:rPr>
          <w:bCs/>
        </w:rPr>
      </w:pPr>
      <w:r>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pPr>
        <w:pStyle w:val="ListParagraph"/>
        <w:widowControl w:val="false"/>
        <w:numPr>
          <w:ilvl w:val="2"/>
          <w:numId w:val="3"/>
        </w:numPr>
        <w:tabs>
          <w:tab w:val="clear" w:pos="708"/>
          <w:tab w:val="left" w:pos="1418" w:leader="none"/>
        </w:tabs>
        <w:ind w:firstLine="710" w:left="0"/>
        <w:jc w:val="both"/>
        <w:rPr>
          <w:bCs/>
          <w:highlight w:val="yellow"/>
        </w:rPr>
      </w:pPr>
      <w:r>
        <w:rPr>
          <w:bCs/>
          <w:highlight w:val="white"/>
        </w:rPr>
        <w:t>Выполнять полученные в ходе исполнения Договора указания Заказчика,</w:t>
      </w:r>
      <w:r>
        <w:rPr>
          <w:highlight w:val="white"/>
        </w:rPr>
        <w:t xml:space="preserve"> </w:t>
      </w:r>
      <w:r>
        <w:rPr>
          <w:bCs/>
          <w:highlight w:val="white"/>
        </w:rPr>
        <w:t>если такие указания не противоречат условиям Договора и не представляют собой вмешательства в деятельность Подрядчика.</w:t>
      </w:r>
      <w:r>
        <w:rPr>
          <w:bCs/>
          <w:highlight w:val="yellow"/>
        </w:rPr>
        <w:t xml:space="preserve"> </w:t>
      </w:r>
    </w:p>
    <w:p>
      <w:pPr>
        <w:pStyle w:val="Normal"/>
        <w:widowControl w:val="false"/>
        <w:tabs>
          <w:tab w:val="clear" w:pos="708"/>
          <w:tab w:val="left" w:pos="1418" w:leader="none"/>
        </w:tabs>
        <w:spacing w:lineRule="auto" w:line="240"/>
        <w:ind w:firstLine="709"/>
        <w:rPr>
          <w:sz w:val="24"/>
          <w:szCs w:val="24"/>
        </w:rPr>
      </w:pPr>
      <w:r>
        <w:rPr>
          <w:bCs/>
        </w:rPr>
        <w:t xml:space="preserve"> </w:t>
      </w:r>
      <w:r>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pPr>
        <w:pStyle w:val="Normal"/>
        <w:widowControl w:val="false"/>
        <w:tabs>
          <w:tab w:val="clear" w:pos="708"/>
          <w:tab w:val="left" w:pos="1418" w:leader="none"/>
        </w:tabs>
        <w:spacing w:lineRule="auto" w:line="240"/>
        <w:ind w:firstLine="709"/>
        <w:rPr>
          <w:sz w:val="24"/>
          <w:szCs w:val="24"/>
        </w:rPr>
      </w:pPr>
      <w:r>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2.3.28.1 Договора. </w:t>
      </w:r>
    </w:p>
    <w:p>
      <w:pPr>
        <w:pStyle w:val="Normal"/>
        <w:widowControl w:val="false"/>
        <w:tabs>
          <w:tab w:val="clear" w:pos="708"/>
          <w:tab w:val="left" w:pos="1418" w:leader="none"/>
        </w:tabs>
        <w:spacing w:lineRule="auto" w:line="240"/>
        <w:ind w:hanging="0" w:left="710"/>
        <w:rPr>
          <w:sz w:val="24"/>
          <w:szCs w:val="24"/>
        </w:rPr>
      </w:pPr>
      <w:r>
        <w:rPr>
          <w:bCs/>
          <w:sz w:val="24"/>
          <w:szCs w:val="24"/>
        </w:rPr>
        <w:t>Подрядчик не вправе отказаться от выполнения или задержать выполнение указаний</w:t>
      </w:r>
    </w:p>
    <w:p>
      <w:pPr>
        <w:pStyle w:val="Normal"/>
        <w:widowControl w:val="false"/>
        <w:tabs>
          <w:tab w:val="clear" w:pos="708"/>
          <w:tab w:val="left" w:pos="1418" w:leader="none"/>
        </w:tabs>
        <w:spacing w:lineRule="auto" w:line="240"/>
        <w:ind w:hanging="0"/>
        <w:rPr>
          <w:sz w:val="24"/>
          <w:szCs w:val="24"/>
        </w:rPr>
      </w:pPr>
      <w:r>
        <w:rPr>
          <w:bCs/>
          <w:sz w:val="24"/>
          <w:szCs w:val="24"/>
        </w:rPr>
        <w:t>Заказчика в части сокращения объемов Работ, прекращения и / или исключения отдельных видов Работ, кроме случая, указанного в пункте 2.3.28.1 Договора</w:t>
      </w:r>
      <w:r>
        <w:rPr>
          <w:bCs/>
        </w:rPr>
        <w:t xml:space="preserve">. </w:t>
      </w:r>
    </w:p>
    <w:p>
      <w:pPr>
        <w:pStyle w:val="ListParagraph"/>
        <w:widowControl w:val="false"/>
        <w:numPr>
          <w:ilvl w:val="2"/>
          <w:numId w:val="3"/>
        </w:numPr>
        <w:tabs>
          <w:tab w:val="clear" w:pos="708"/>
          <w:tab w:val="left" w:pos="1418" w:leader="none"/>
        </w:tabs>
        <w:ind w:firstLine="710" w:left="0"/>
        <w:jc w:val="both"/>
        <w:rPr>
          <w:bCs/>
        </w:rPr>
      </w:pPr>
      <w:r>
        <w:rPr>
          <w:bCs/>
        </w:rPr>
        <w:t>Письменно известить Заказчика и до получения от него необходимых указаний приостановить Работу при обнаружении:</w:t>
      </w:r>
    </w:p>
    <w:p>
      <w:pPr>
        <w:pStyle w:val="ListParagraph"/>
        <w:widowControl w:val="false"/>
        <w:numPr>
          <w:ilvl w:val="3"/>
          <w:numId w:val="3"/>
        </w:numPr>
        <w:tabs>
          <w:tab w:val="clear" w:pos="708"/>
          <w:tab w:val="left" w:pos="1701" w:leader="none"/>
        </w:tabs>
        <w:ind w:firstLine="709" w:left="0"/>
        <w:jc w:val="both"/>
        <w:rPr>
          <w:bCs/>
        </w:rPr>
      </w:pPr>
      <w:r>
        <w:rPr>
          <w:bCs/>
        </w:rPr>
        <w:t xml:space="preserve">- 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pPr>
        <w:pStyle w:val="ListParagraph"/>
        <w:widowControl w:val="false"/>
        <w:numPr>
          <w:ilvl w:val="3"/>
          <w:numId w:val="3"/>
        </w:numPr>
        <w:tabs>
          <w:tab w:val="clear" w:pos="708"/>
          <w:tab w:val="left" w:pos="1701" w:leader="none"/>
        </w:tabs>
        <w:ind w:firstLine="709" w:left="0"/>
        <w:jc w:val="both"/>
        <w:rPr>
          <w:bCs/>
        </w:rPr>
      </w:pPr>
      <w:r>
        <w:rPr>
          <w:bCs/>
        </w:rPr>
        <w:t>- 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pPr>
        <w:pStyle w:val="ListParagraph"/>
        <w:widowControl w:val="false"/>
        <w:numPr>
          <w:ilvl w:val="3"/>
          <w:numId w:val="3"/>
        </w:numPr>
        <w:tabs>
          <w:tab w:val="clear" w:pos="708"/>
          <w:tab w:val="left" w:pos="1701" w:leader="none"/>
        </w:tabs>
        <w:ind w:firstLine="709" w:left="0"/>
        <w:jc w:val="both"/>
        <w:rPr>
          <w:bCs/>
        </w:rPr>
      </w:pPr>
      <w:r>
        <w:rPr>
          <w:bCs/>
        </w:rPr>
        <w:t>- 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pPr>
        <w:pStyle w:val="ListParagraph"/>
        <w:widowControl w:val="false"/>
        <w:tabs>
          <w:tab w:val="clear" w:pos="708"/>
          <w:tab w:val="left" w:pos="567" w:leader="none"/>
        </w:tabs>
        <w:ind w:firstLine="709" w:left="0"/>
        <w:jc w:val="both"/>
        <w:rPr>
          <w:bCs/>
        </w:rPr>
      </w:pPr>
      <w:r>
        <w:rPr>
          <w:bCs/>
        </w:rPr>
        <w:t>Невыполнение Подрядчиком требований пункта 2.3.28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pPr>
        <w:pStyle w:val="ListParagraph"/>
        <w:widowControl w:val="false"/>
        <w:numPr>
          <w:ilvl w:val="2"/>
          <w:numId w:val="3"/>
        </w:numPr>
        <w:tabs>
          <w:tab w:val="clear" w:pos="708"/>
          <w:tab w:val="left" w:pos="1418" w:leader="none"/>
        </w:tabs>
        <w:ind w:firstLine="709" w:left="0"/>
        <w:jc w:val="both"/>
        <w:rPr>
          <w:bCs/>
        </w:rPr>
      </w:pPr>
      <w:r>
        <w:rPr>
          <w:bCs/>
        </w:rPr>
        <w:t>Письменно уведомлять</w:t>
      </w:r>
      <w:r>
        <w:rPr/>
        <w:t xml:space="preserve"> Заказчика о любых внеплановых событиях и происшествиях, возникших в ходе исполнения Договора, включая, но не ограничиваясь:</w:t>
      </w:r>
    </w:p>
    <w:p>
      <w:pPr>
        <w:pStyle w:val="ListParagraph"/>
        <w:widowControl w:val="false"/>
        <w:numPr>
          <w:ilvl w:val="0"/>
          <w:numId w:val="15"/>
        </w:numPr>
        <w:ind w:firstLine="709" w:left="0" w:right="23"/>
        <w:jc w:val="both"/>
        <w:rPr/>
      </w:pPr>
      <w:r>
        <w:rPr/>
        <w:t>аварии – в течение 2 (двух) часов;</w:t>
      </w:r>
    </w:p>
    <w:p>
      <w:pPr>
        <w:pStyle w:val="ListParagraph"/>
        <w:widowControl w:val="false"/>
        <w:numPr>
          <w:ilvl w:val="0"/>
          <w:numId w:val="15"/>
        </w:numPr>
        <w:ind w:firstLine="709" w:left="0" w:right="23"/>
        <w:jc w:val="both"/>
        <w:rPr/>
      </w:pPr>
      <w:r>
        <w:rPr/>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pPr>
        <w:pStyle w:val="ListParagraph"/>
        <w:widowControl w:val="false"/>
        <w:numPr>
          <w:ilvl w:val="0"/>
          <w:numId w:val="15"/>
        </w:numPr>
        <w:ind w:firstLine="709" w:left="0" w:right="23"/>
        <w:jc w:val="both"/>
        <w:rPr/>
      </w:pPr>
      <w:r>
        <w:rPr/>
        <w:t>хищении и иных противоправных действиях – в течение 24 (двадцати четырех) часов;</w:t>
      </w:r>
    </w:p>
    <w:p>
      <w:pPr>
        <w:pStyle w:val="ListParagraph"/>
        <w:widowControl w:val="false"/>
        <w:numPr>
          <w:ilvl w:val="0"/>
          <w:numId w:val="15"/>
        </w:numPr>
        <w:ind w:firstLine="709" w:left="0" w:right="23"/>
        <w:jc w:val="both"/>
        <w:rPr/>
      </w:pPr>
      <w:r>
        <w:rPr/>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pPr>
        <w:pStyle w:val="ListParagraph"/>
        <w:widowControl w:val="false"/>
        <w:numPr>
          <w:ilvl w:val="0"/>
          <w:numId w:val="15"/>
        </w:numPr>
        <w:ind w:firstLine="709" w:left="0" w:right="23"/>
        <w:jc w:val="both"/>
        <w:rPr/>
      </w:pPr>
      <w:r>
        <w:rPr/>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pPr>
        <w:pStyle w:val="ListParagraph"/>
        <w:widowControl w:val="false"/>
        <w:numPr>
          <w:ilvl w:val="0"/>
          <w:numId w:val="15"/>
        </w:numPr>
        <w:ind w:firstLine="709" w:left="0" w:right="23"/>
        <w:jc w:val="both"/>
        <w:rPr/>
      </w:pPr>
      <w:r>
        <w:rPr/>
        <w:t>иных обстоятельствах, фактах, сообщениях в средствах массовой информации – в течение 24 (двадцати четырех) часов.</w:t>
      </w:r>
    </w:p>
    <w:p>
      <w:pPr>
        <w:pStyle w:val="ListParagraph"/>
        <w:widowControl w:val="false"/>
        <w:numPr>
          <w:ilvl w:val="2"/>
          <w:numId w:val="3"/>
        </w:numPr>
        <w:tabs>
          <w:tab w:val="clear" w:pos="708"/>
          <w:tab w:val="left" w:pos="1418" w:leader="none"/>
        </w:tabs>
        <w:ind w:firstLine="710" w:left="0"/>
        <w:jc w:val="both"/>
        <w:rPr/>
      </w:pPr>
      <w:r>
        <w:rPr/>
        <w:t xml:space="preserve">Нести риск случайной гибели и случайного повреждения мест (помещений), оборудования, материалов и инструмента, принятых от Заказчика в соответствии с пунктом </w:t>
      </w:r>
      <w:r>
        <w:rPr>
          <w:highlight w:val="white"/>
        </w:rPr>
        <w:t xml:space="preserve">2.3.2 </w:t>
      </w:r>
      <w:r>
        <w:rPr/>
        <w:t>Договора, до момента их передачи (возврата) Заказчику по соответствующим актам сдачи-приемки по форме Приложения № 4 к Договору.</w:t>
      </w:r>
    </w:p>
    <w:p>
      <w:pPr>
        <w:pStyle w:val="ListParagraph"/>
        <w:widowControl w:val="false"/>
        <w:numPr>
          <w:ilvl w:val="2"/>
          <w:numId w:val="3"/>
        </w:numPr>
        <w:tabs>
          <w:tab w:val="clear" w:pos="708"/>
          <w:tab w:val="left" w:pos="1418" w:leader="none"/>
        </w:tabs>
        <w:ind w:firstLine="709" w:left="0"/>
        <w:jc w:val="both"/>
        <w:rPr/>
      </w:pPr>
      <w:r>
        <w:rPr/>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pPr>
        <w:pStyle w:val="ListParagraph"/>
        <w:widowControl w:val="false"/>
        <w:tabs>
          <w:tab w:val="clear" w:pos="708"/>
          <w:tab w:val="left" w:pos="1418" w:leader="none"/>
        </w:tabs>
        <w:ind w:firstLine="709" w:left="0"/>
        <w:jc w:val="both"/>
        <w:rPr/>
      </w:pPr>
      <w:r>
        <w:rPr/>
        <w:t>Подрядчик обязан незамедлительно приступать к устранению недостатков, о которых ему стало известно.</w:t>
      </w:r>
    </w:p>
    <w:p>
      <w:pPr>
        <w:pStyle w:val="ListParagraph"/>
        <w:widowControl w:val="false"/>
        <w:numPr>
          <w:ilvl w:val="2"/>
          <w:numId w:val="3"/>
        </w:numPr>
        <w:tabs>
          <w:tab w:val="clear" w:pos="708"/>
          <w:tab w:val="left" w:pos="1418" w:leader="none"/>
        </w:tabs>
        <w:ind w:firstLine="709" w:left="0"/>
        <w:jc w:val="both"/>
        <w:rPr>
          <w:bCs/>
        </w:rPr>
      </w:pPr>
      <w:r>
        <w:rPr/>
        <w:t xml:space="preserve">Письменно уведомлять Заказчика о необходимости проведения освидетельствования и / или приемки Скрытых работ. </w:t>
      </w:r>
    </w:p>
    <w:p>
      <w:pPr>
        <w:pStyle w:val="ListParagraph"/>
        <w:widowControl w:val="false"/>
        <w:tabs>
          <w:tab w:val="clear" w:pos="708"/>
          <w:tab w:val="left" w:pos="1418" w:leader="none"/>
        </w:tabs>
        <w:ind w:firstLine="709" w:left="0"/>
        <w:jc w:val="both"/>
        <w:rPr>
          <w:bCs/>
        </w:rPr>
      </w:pPr>
      <w:r>
        <w:rPr/>
        <w:t>Указанное уведомление должно быть получено Заказчиком заблаговременно</w:t>
      </w:r>
      <w:r>
        <w:rPr>
          <w:bCs/>
        </w:rPr>
        <w:t>, но не позднее, чем за 3</w:t>
      </w:r>
      <w:r>
        <w:rPr/>
        <w:t xml:space="preserve"> (три)</w:t>
      </w:r>
      <w:r>
        <w:rPr>
          <w:bCs/>
        </w:rPr>
        <w:t xml:space="preserve"> рабочих дня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p>
      <w:pPr>
        <w:pStyle w:val="ListParagraph"/>
        <w:widowControl w:val="false"/>
        <w:numPr>
          <w:ilvl w:val="2"/>
          <w:numId w:val="3"/>
        </w:numPr>
        <w:tabs>
          <w:tab w:val="clear" w:pos="708"/>
          <w:tab w:val="left" w:pos="1418" w:leader="none"/>
        </w:tabs>
        <w:ind w:firstLine="709" w:left="0"/>
        <w:jc w:val="both"/>
        <w:rPr>
          <w:bCs/>
        </w:rPr>
      </w:pPr>
      <w:r>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pPr>
        <w:pStyle w:val="ListParagraph"/>
        <w:widowControl w:val="false"/>
        <w:numPr>
          <w:ilvl w:val="2"/>
          <w:numId w:val="3"/>
        </w:numPr>
        <w:tabs>
          <w:tab w:val="clear" w:pos="708"/>
          <w:tab w:val="left" w:pos="1418" w:leader="none"/>
        </w:tabs>
        <w:ind w:firstLine="709" w:left="0"/>
        <w:jc w:val="both"/>
        <w:rPr/>
      </w:pPr>
      <w:r>
        <w:rPr/>
        <w:t>В случае каких-либо изменений в цепочке собственников Подрядчика, включая бенефициаров, и (или) исполнительных органах, предоставить соответствующую информацию не позднее 5 (пяти) календарных дней после таких изменений. Не предоставление Подрядчиком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 В этом случае договор считается расторгнутым с момента получения Подрядчиком соответствующего уведомления Заказчика, если иной срок не указан в уведомлении.</w:t>
      </w:r>
    </w:p>
    <w:p>
      <w:pPr>
        <w:pStyle w:val="ListParagraph"/>
        <w:widowControl w:val="false"/>
        <w:numPr>
          <w:ilvl w:val="2"/>
          <w:numId w:val="3"/>
        </w:numPr>
        <w:tabs>
          <w:tab w:val="clear" w:pos="708"/>
          <w:tab w:val="left" w:pos="1418" w:leader="none"/>
        </w:tabs>
        <w:ind w:firstLine="709" w:left="0"/>
        <w:jc w:val="both"/>
        <w:rPr>
          <w:bCs/>
        </w:rPr>
      </w:pPr>
      <w:r>
        <w:rPr/>
        <w:t>Обеспечить круглосуточную охрану места производства работ.</w:t>
      </w:r>
    </w:p>
    <w:p>
      <w:pPr>
        <w:pStyle w:val="ListParagraph"/>
        <w:widowControl w:val="false"/>
        <w:numPr>
          <w:ilvl w:val="2"/>
          <w:numId w:val="3"/>
        </w:numPr>
        <w:tabs>
          <w:tab w:val="clear" w:pos="708"/>
          <w:tab w:val="left" w:pos="1418" w:leader="none"/>
        </w:tabs>
        <w:ind w:firstLine="709" w:left="0"/>
        <w:jc w:val="both"/>
        <w:rPr/>
      </w:pPr>
      <w:r>
        <w:rPr/>
        <w:t>Обеспечить недопущение несанкционированного доступа посторонних лиц на места производства работ.</w:t>
      </w:r>
    </w:p>
    <w:p>
      <w:pPr>
        <w:pStyle w:val="ListParagraph"/>
        <w:widowControl w:val="false"/>
        <w:numPr>
          <w:ilvl w:val="2"/>
          <w:numId w:val="3"/>
        </w:numPr>
        <w:tabs>
          <w:tab w:val="clear" w:pos="708"/>
          <w:tab w:val="left" w:pos="1418" w:leader="none"/>
        </w:tabs>
        <w:ind w:firstLine="709" w:left="0"/>
        <w:jc w:val="both"/>
        <w:rPr>
          <w:bCs/>
        </w:rPr>
      </w:pPr>
      <w:r>
        <w:rPr>
          <w:bCs/>
        </w:rPr>
        <w:t>Исполнять требования действующего законодательства в области охраны труда, промышленной и пожарной безопасности, в том числе:</w:t>
      </w:r>
    </w:p>
    <w:p>
      <w:pPr>
        <w:pStyle w:val="ListParagraph"/>
        <w:widowControl w:val="false"/>
        <w:numPr>
          <w:ilvl w:val="3"/>
          <w:numId w:val="3"/>
        </w:numPr>
        <w:tabs>
          <w:tab w:val="clear" w:pos="708"/>
          <w:tab w:val="left" w:pos="1701" w:leader="none"/>
        </w:tabs>
        <w:ind w:firstLine="709" w:left="0"/>
        <w:jc w:val="both"/>
        <w:rPr>
          <w:bCs/>
        </w:rPr>
      </w:pPr>
      <w:r>
        <w:rPr>
          <w:bCs/>
        </w:rPr>
        <w:t>Выполнять работы в соответствии с требованиями Федеральных законов, постановлений Правительства РФ, отраслевых и межотраслевых положений и правил, соблюдать требования проектов производства работ, инструкций, технологических карт;</w:t>
      </w:r>
    </w:p>
    <w:p>
      <w:pPr>
        <w:pStyle w:val="ListParagraph"/>
        <w:widowControl w:val="false"/>
        <w:numPr>
          <w:ilvl w:val="3"/>
          <w:numId w:val="3"/>
        </w:numPr>
        <w:tabs>
          <w:tab w:val="clear" w:pos="708"/>
          <w:tab w:val="left" w:pos="1701" w:leader="none"/>
        </w:tabs>
        <w:ind w:firstLine="709" w:left="0"/>
        <w:jc w:val="both"/>
        <w:rPr>
          <w:bCs/>
        </w:rPr>
      </w:pPr>
      <w:r>
        <w:rPr>
          <w:bCs/>
        </w:rPr>
        <w:t>Обеспечивать выполнение Работ по Договору квалифицированными работниками и ИТР, прошедшими обучение, стажировку, проверку знаний требований охраны труда, пожарной безопасности, имеющих соответствующую группу по электробезопасности, аттестованными на знание правил промышленной безопасности, не имеющими медицинских противопоказаний в соответствии с характером выполняемых работ и видов оборудования, на котором выполняются работы, с записями в удостоверениях;</w:t>
      </w:r>
    </w:p>
    <w:p>
      <w:pPr>
        <w:pStyle w:val="ListParagraph"/>
        <w:widowControl w:val="false"/>
        <w:numPr>
          <w:ilvl w:val="3"/>
          <w:numId w:val="3"/>
        </w:numPr>
        <w:tabs>
          <w:tab w:val="clear" w:pos="708"/>
          <w:tab w:val="left" w:pos="1701" w:leader="none"/>
        </w:tabs>
        <w:ind w:firstLine="709" w:left="0"/>
        <w:jc w:val="both"/>
        <w:rPr>
          <w:bCs/>
        </w:rPr>
      </w:pPr>
      <w:r>
        <w:rPr>
          <w:bCs/>
        </w:rPr>
        <w:t>Обеспечивать контроль работы собственного и привлеченного персонала, соблюдения требований техники безопасности, промышленной, пожарной безопасности;</w:t>
      </w:r>
    </w:p>
    <w:p>
      <w:pPr>
        <w:pStyle w:val="ListParagraph"/>
        <w:widowControl w:val="false"/>
        <w:numPr>
          <w:ilvl w:val="3"/>
          <w:numId w:val="3"/>
        </w:numPr>
        <w:tabs>
          <w:tab w:val="clear" w:pos="708"/>
          <w:tab w:val="left" w:pos="1701" w:leader="none"/>
        </w:tabs>
        <w:ind w:firstLine="709" w:left="0"/>
        <w:jc w:val="both"/>
        <w:rPr>
          <w:bCs/>
        </w:rPr>
      </w:pPr>
      <w:r>
        <w:rPr>
          <w:bCs/>
        </w:rPr>
        <w:t>Обеспечивать разработку совмещенного графика производства работ (при необходимости) совместно с Заказчиком;</w:t>
      </w:r>
    </w:p>
    <w:p>
      <w:pPr>
        <w:pStyle w:val="ListParagraph"/>
        <w:widowControl w:val="false"/>
        <w:numPr>
          <w:ilvl w:val="3"/>
          <w:numId w:val="3"/>
        </w:numPr>
        <w:tabs>
          <w:tab w:val="clear" w:pos="708"/>
          <w:tab w:val="left" w:pos="1701" w:leader="none"/>
        </w:tabs>
        <w:ind w:firstLine="709" w:left="0"/>
        <w:jc w:val="both"/>
        <w:rPr>
          <w:bCs/>
        </w:rPr>
      </w:pPr>
      <w:r>
        <w:rPr>
          <w:bCs/>
        </w:rPr>
        <w:t>Обеспечивать прохождение персоналом вводного, первичного инструктажей на рабочем месте в организации Заказчика;</w:t>
      </w:r>
    </w:p>
    <w:p>
      <w:pPr>
        <w:pStyle w:val="ListParagraph"/>
        <w:widowControl w:val="false"/>
        <w:numPr>
          <w:ilvl w:val="3"/>
          <w:numId w:val="3"/>
        </w:numPr>
        <w:tabs>
          <w:tab w:val="clear" w:pos="708"/>
          <w:tab w:val="left" w:pos="1701" w:leader="none"/>
        </w:tabs>
        <w:ind w:firstLine="709" w:left="0"/>
        <w:jc w:val="both"/>
        <w:rPr>
          <w:bCs/>
        </w:rPr>
      </w:pPr>
      <w:r>
        <w:rPr>
          <w:bCs/>
        </w:rPr>
        <w:t>Выполнять работы в строгом соответствии с выданными нарядами и актами допуска;</w:t>
      </w:r>
    </w:p>
    <w:p>
      <w:pPr>
        <w:pStyle w:val="ListParagraph"/>
        <w:widowControl w:val="false"/>
        <w:numPr>
          <w:ilvl w:val="3"/>
          <w:numId w:val="3"/>
        </w:numPr>
        <w:tabs>
          <w:tab w:val="clear" w:pos="708"/>
          <w:tab w:val="left" w:pos="1701" w:leader="none"/>
        </w:tabs>
        <w:ind w:firstLine="709" w:left="0"/>
        <w:jc w:val="both"/>
        <w:rPr>
          <w:bCs/>
        </w:rPr>
      </w:pPr>
      <w:r>
        <w:rPr>
          <w:bCs/>
        </w:rPr>
        <w:t>Обеспечивать выполнение собственным и привлеченным персоналом мероприятий, правил и инструкций по охране труда и технике безопасности, требований ПТЭ, промышленной, пожарной безопасности, санитарно-гигиенических норм, выдачу и обязательное применение своими работниками и работниками субподрядных организаций средств индивидуальной защиты, спецодежды;</w:t>
      </w:r>
    </w:p>
    <w:p>
      <w:pPr>
        <w:pStyle w:val="ListParagraph"/>
        <w:widowControl w:val="false"/>
        <w:numPr>
          <w:ilvl w:val="3"/>
          <w:numId w:val="3"/>
        </w:numPr>
        <w:tabs>
          <w:tab w:val="clear" w:pos="708"/>
          <w:tab w:val="left" w:pos="1701" w:leader="none"/>
        </w:tabs>
        <w:ind w:firstLine="709" w:left="0"/>
        <w:jc w:val="both"/>
        <w:rPr>
          <w:bCs/>
        </w:rPr>
      </w:pPr>
      <w:r>
        <w:rPr>
          <w:bCs/>
        </w:rPr>
        <w:t>Обеспечивать поддержание чистоты и порядка на рабочих местах, в производственных, служебных, бытовых помещений на объектах Заказчика, соблюдения правил пожарной безопасности, ежедневную уборку рабочих мест и по окончании работ, сдачу их по акту;</w:t>
      </w:r>
    </w:p>
    <w:p>
      <w:pPr>
        <w:pStyle w:val="ListParagraph"/>
        <w:widowControl w:val="false"/>
        <w:numPr>
          <w:ilvl w:val="3"/>
          <w:numId w:val="3"/>
        </w:numPr>
        <w:tabs>
          <w:tab w:val="clear" w:pos="708"/>
          <w:tab w:val="left" w:pos="1701" w:leader="none"/>
        </w:tabs>
        <w:ind w:firstLine="709" w:left="0"/>
        <w:jc w:val="both"/>
        <w:rPr>
          <w:bCs/>
        </w:rPr>
      </w:pPr>
      <w:r>
        <w:rPr>
          <w:bCs/>
        </w:rPr>
        <w:t xml:space="preserve"> </w:t>
      </w:r>
      <w:r>
        <w:rPr>
          <w:bCs/>
        </w:rPr>
        <w:t>Выполнять предписания, выданные руководителями и специалистами Заказчика по немедленному устранению выявленных нарушений требований охраны труда, промышленной, пожарной безопасности;</w:t>
      </w:r>
    </w:p>
    <w:p>
      <w:pPr>
        <w:pStyle w:val="ListParagraph"/>
        <w:widowControl w:val="false"/>
        <w:numPr>
          <w:ilvl w:val="2"/>
          <w:numId w:val="3"/>
        </w:numPr>
        <w:tabs>
          <w:tab w:val="clear" w:pos="708"/>
          <w:tab w:val="left" w:pos="1418" w:leader="none"/>
        </w:tabs>
        <w:ind w:firstLine="709" w:left="0"/>
        <w:jc w:val="both"/>
        <w:rPr>
          <w:bCs/>
        </w:rPr>
      </w:pPr>
      <w:r>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 </w:t>
      </w:r>
      <w:r>
        <w:rPr>
          <w:shd w:fill="FFFFFF" w:val="clear"/>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работ, в том числе в случае, если такой ущерб причинен в результате недостатков выполненных Работ</w:t>
      </w:r>
      <w:r>
        <w:rPr/>
        <w:t xml:space="preserve">, </w:t>
      </w:r>
      <w:r>
        <w:rPr>
          <w:bCs/>
        </w:rPr>
        <w:t>без какого-либо ограничения размера такого возмещения.</w:t>
      </w:r>
    </w:p>
    <w:p>
      <w:pPr>
        <w:pStyle w:val="ListParagraph"/>
        <w:widowControl w:val="false"/>
        <w:tabs>
          <w:tab w:val="clear" w:pos="708"/>
          <w:tab w:val="left" w:pos="709" w:leader="none"/>
          <w:tab w:val="left" w:pos="1418" w:leader="none"/>
        </w:tabs>
        <w:ind w:firstLine="709" w:left="0"/>
        <w:jc w:val="both"/>
        <w:rPr>
          <w:bCs/>
        </w:rPr>
      </w:pPr>
      <w:r>
        <w:rPr>
          <w:bCs/>
        </w:rPr>
        <w:t xml:space="preserve">В случае, когда один или несколько соответствующих рисков были застрахованы Заказчиком или в его пользу, Подрядчик обязан возместить ущерб в пользу Заказчика в части, не подлежащей возмещению по договору (-ам) страхования. </w:t>
      </w:r>
    </w:p>
    <w:p>
      <w:pPr>
        <w:pStyle w:val="ListParagraph"/>
        <w:widowControl w:val="false"/>
        <w:numPr>
          <w:ilvl w:val="2"/>
          <w:numId w:val="3"/>
        </w:numPr>
        <w:tabs>
          <w:tab w:val="clear" w:pos="708"/>
          <w:tab w:val="left" w:pos="1418" w:leader="none"/>
        </w:tabs>
        <w:ind w:firstLine="709" w:left="0"/>
        <w:jc w:val="both"/>
        <w:rPr/>
      </w:pPr>
      <w:r>
        <w:rPr>
          <w:bCs/>
        </w:rPr>
        <w:t>В случае предъявления налоговыми органами претензий и требований к Заказчику, связанных с недобросовестностью Субподрядчиков (любого лица из цепочки субподрядчиков),</w:t>
      </w:r>
      <w:r>
        <w:rPr/>
        <w:t xml:space="preserve"> </w:t>
      </w:r>
      <w:r>
        <w:rPr>
          <w:bCs/>
        </w:rPr>
        <w:t xml:space="preserve">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pPr>
        <w:pStyle w:val="ListParagraph"/>
        <w:widowControl w:val="false"/>
        <w:numPr>
          <w:ilvl w:val="2"/>
          <w:numId w:val="3"/>
        </w:numPr>
        <w:ind w:firstLine="709" w:left="0"/>
        <w:jc w:val="both"/>
        <w:rPr/>
      </w:pPr>
      <w:r>
        <w:rPr/>
        <w:t>Направлять ежемесячно, в срок до 23 числа месяца гарантийное письмо Заказчику об объемах работ, которые будут предъявлены Заказчику за текущий месяц, с указанием сумм для предстоящего финансирования, либо направить письменное уведомление Заказчику об отсутствии ожидаемого выполнения.</w:t>
      </w:r>
    </w:p>
    <w:p>
      <w:pPr>
        <w:pStyle w:val="ListParagraph"/>
        <w:widowControl w:val="false"/>
        <w:numPr>
          <w:ilvl w:val="2"/>
          <w:numId w:val="3"/>
        </w:numPr>
        <w:ind w:firstLine="709" w:left="0"/>
        <w:jc w:val="both"/>
        <w:rPr>
          <w:highlight w:val="none"/>
          <w:shd w:fill="auto" w:val="clear"/>
        </w:rPr>
      </w:pPr>
      <w:r>
        <w:rPr>
          <w:shd w:fill="auto" w:val="clear"/>
        </w:rPr>
        <w:t xml:space="preserve">Исполнять иные обязанности, предусмотренные Договором и </w:t>
      </w:r>
      <w:r>
        <w:rPr>
          <w:bCs/>
          <w:shd w:fill="auto" w:val="clear"/>
        </w:rPr>
        <w:t>законодательством Российской Федерации.</w:t>
      </w:r>
    </w:p>
    <w:p>
      <w:pPr>
        <w:pStyle w:val="ListParagraph"/>
        <w:widowControl w:val="false"/>
        <w:numPr>
          <w:ilvl w:val="1"/>
          <w:numId w:val="3"/>
        </w:numPr>
        <w:tabs>
          <w:tab w:val="clear" w:pos="708"/>
          <w:tab w:val="left" w:pos="1134" w:leader="none"/>
        </w:tabs>
        <w:ind w:firstLine="709" w:left="0"/>
        <w:jc w:val="both"/>
        <w:rPr>
          <w:bCs/>
        </w:rPr>
      </w:pPr>
      <w:r>
        <w:rPr>
          <w:bCs/>
          <w:u w:val="single"/>
        </w:rPr>
        <w:t>Подрядчик имеет право</w:t>
      </w:r>
      <w:r>
        <w:rPr>
          <w:bCs/>
        </w:rPr>
        <w:t>:</w:t>
      </w:r>
    </w:p>
    <w:p>
      <w:pPr>
        <w:pStyle w:val="ListParagraph"/>
        <w:widowControl w:val="false"/>
        <w:numPr>
          <w:ilvl w:val="2"/>
          <w:numId w:val="3"/>
        </w:numPr>
        <w:tabs>
          <w:tab w:val="clear" w:pos="708"/>
          <w:tab w:val="left" w:pos="1418" w:leader="none"/>
        </w:tabs>
        <w:ind w:firstLine="709" w:left="0"/>
        <w:jc w:val="both"/>
        <w:rPr>
          <w:bCs/>
        </w:rPr>
      </w:pPr>
      <w:r>
        <w:rPr>
          <w:bCs/>
        </w:rPr>
        <w:t>Самостоятельно организовать выполнение Работ.</w:t>
      </w:r>
    </w:p>
    <w:p>
      <w:pPr>
        <w:pStyle w:val="ListParagraph"/>
        <w:widowControl w:val="false"/>
        <w:numPr>
          <w:ilvl w:val="2"/>
          <w:numId w:val="3"/>
        </w:numPr>
        <w:tabs>
          <w:tab w:val="clear" w:pos="708"/>
          <w:tab w:val="left" w:pos="1418" w:leader="none"/>
        </w:tabs>
        <w:ind w:firstLine="709" w:left="0"/>
        <w:jc w:val="both"/>
        <w:rPr>
          <w:sz w:val="24"/>
          <w:szCs w:val="24"/>
        </w:rPr>
      </w:pPr>
      <w:r>
        <w:rPr>
          <w:bCs/>
          <w:sz w:val="24"/>
          <w:szCs w:val="24"/>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___  (______) процентов от Цены Договора, неся при этом ответственность за действия Субподрядчиков, как за свои собственные. </w:t>
      </w:r>
    </w:p>
    <w:p>
      <w:pPr>
        <w:pStyle w:val="ListParagraph"/>
        <w:widowControl w:val="false"/>
        <w:tabs>
          <w:tab w:val="clear" w:pos="708"/>
          <w:tab w:val="left" w:pos="1418" w:leader="none"/>
        </w:tabs>
        <w:ind w:firstLine="709" w:left="0"/>
        <w:jc w:val="both"/>
        <w:rPr>
          <w:bCs/>
        </w:rPr>
      </w:pPr>
      <w:r>
        <w:rPr>
          <w:bCs/>
        </w:rPr>
        <w:t xml:space="preserve">При согласовании привлечения Субподрядчика Подрядчик представляет Заказчику: </w:t>
      </w:r>
    </w:p>
    <w:p>
      <w:pPr>
        <w:pStyle w:val="ListParagraph"/>
        <w:widowControl w:val="false"/>
        <w:numPr>
          <w:ilvl w:val="0"/>
          <w:numId w:val="18"/>
        </w:numPr>
        <w:tabs>
          <w:tab w:val="clear" w:pos="708"/>
          <w:tab w:val="left" w:pos="709" w:leader="none"/>
        </w:tabs>
        <w:ind w:firstLine="709" w:left="0"/>
        <w:jc w:val="both"/>
        <w:rPr>
          <w:bCs/>
        </w:rPr>
      </w:pPr>
      <w:r>
        <w:rPr>
          <w:bCs/>
        </w:rPr>
        <w:t xml:space="preserve">проект договора с Субподрядчиком. При этом в Договоре субподряда должно быть предусмотрено право Заказчика проверять и наблюдать за деятельностью Субподрядчика с участием Подрядчика и за выполнением Субподрядчиком любых обязательств, принятых по Договору субподряда. Субподрядчик обязан выполнять требования Заказчика, аналогичные предъявляемым к Подрядчику, и предоставлять все необходимую документацию (документы, отчеты и т.д.); </w:t>
      </w:r>
    </w:p>
    <w:p>
      <w:pPr>
        <w:pStyle w:val="ListParagraph"/>
        <w:widowControl w:val="false"/>
        <w:numPr>
          <w:ilvl w:val="0"/>
          <w:numId w:val="18"/>
        </w:numPr>
        <w:tabs>
          <w:tab w:val="clear" w:pos="708"/>
          <w:tab w:val="left" w:pos="709" w:leader="none"/>
        </w:tabs>
        <w:ind w:firstLine="709" w:left="0"/>
        <w:jc w:val="both"/>
        <w:rPr>
          <w:bCs/>
        </w:rPr>
      </w:pPr>
      <w:r>
        <w:rPr>
          <w:bCs/>
        </w:rPr>
        <w:t xml:space="preserve">сведения об объемах выполнения работ Субподрядчиком; </w:t>
      </w:r>
    </w:p>
    <w:p>
      <w:pPr>
        <w:pStyle w:val="ListParagraph"/>
        <w:widowControl w:val="false"/>
        <w:numPr>
          <w:ilvl w:val="0"/>
          <w:numId w:val="18"/>
        </w:numPr>
        <w:tabs>
          <w:tab w:val="clear" w:pos="708"/>
          <w:tab w:val="left" w:pos="709" w:leader="none"/>
        </w:tabs>
        <w:ind w:firstLine="709" w:left="0"/>
        <w:jc w:val="both"/>
        <w:rPr>
          <w:bCs/>
        </w:rPr>
      </w:pPr>
      <w:r>
        <w:rPr>
          <w:bCs/>
        </w:rPr>
        <w:t xml:space="preserve">пофамильный перечень персонала Субподрядчика, который будет задействован при производстве Работ; </w:t>
      </w:r>
    </w:p>
    <w:p>
      <w:pPr>
        <w:pStyle w:val="ListParagraph"/>
        <w:widowControl w:val="false"/>
        <w:numPr>
          <w:ilvl w:val="0"/>
          <w:numId w:val="18"/>
        </w:numPr>
        <w:tabs>
          <w:tab w:val="clear" w:pos="708"/>
          <w:tab w:val="left" w:pos="709" w:leader="none"/>
        </w:tabs>
        <w:ind w:firstLine="709" w:left="0"/>
        <w:jc w:val="both"/>
        <w:rPr>
          <w:bCs/>
        </w:rPr>
      </w:pPr>
      <w:r>
        <w:rPr>
          <w:bCs/>
        </w:rPr>
        <w:t xml:space="preserve">копии документов, подтверждающих наличие у Субподрядчика и его персонала допусков, разрешений и лицензий, необходимых для выполнения Работ, </w:t>
      </w:r>
      <w:r>
        <w:rPr>
          <w:bCs/>
          <w:color w:themeColor="text1" w:val="000000"/>
          <w:sz w:val="24"/>
          <w:szCs w:val="24"/>
          <w:highlight w:val="white"/>
        </w:rPr>
        <w:t>а также учредительные документы</w:t>
      </w:r>
      <w:r>
        <w:rPr>
          <w:bCs/>
          <w:color w:themeColor="text1" w:val="000000"/>
          <w:sz w:val="24"/>
          <w:szCs w:val="24"/>
        </w:rPr>
        <w:t xml:space="preserve"> включая: его адрес (место нахождения), номера телефонов руководителя, идентификационный номер налогоплательщика, код причины постановки на учет в налоговом органе) и иную информацию.</w:t>
      </w:r>
    </w:p>
    <w:p>
      <w:pPr>
        <w:pStyle w:val="ListParagraph"/>
        <w:widowControl w:val="false"/>
        <w:tabs>
          <w:tab w:val="clear" w:pos="708"/>
          <w:tab w:val="left" w:pos="709" w:leader="none"/>
        </w:tabs>
        <w:ind w:firstLine="709" w:left="0"/>
        <w:jc w:val="both"/>
        <w:rPr>
          <w:bCs/>
        </w:rPr>
      </w:pPr>
      <w:r>
        <w:rPr>
          <w:bCs/>
        </w:rPr>
      </w:r>
    </w:p>
    <w:p>
      <w:pPr>
        <w:pStyle w:val="ListParagraph"/>
        <w:numPr>
          <w:ilvl w:val="0"/>
          <w:numId w:val="3"/>
        </w:numPr>
        <w:tabs>
          <w:tab w:val="clear" w:pos="708"/>
          <w:tab w:val="left" w:pos="284" w:leader="none"/>
        </w:tabs>
        <w:ind w:hanging="0" w:left="0"/>
        <w:jc w:val="center"/>
        <w:rPr>
          <w:highlight w:val="white"/>
        </w:rPr>
      </w:pPr>
      <w:r>
        <w:rPr>
          <w:b/>
          <w:bCs/>
          <w:highlight w:val="white"/>
        </w:rPr>
        <w:t>Цена Договора и порядок расчетов</w:t>
      </w:r>
    </w:p>
    <w:p>
      <w:pPr>
        <w:pStyle w:val="Normal"/>
        <w:widowControl/>
        <w:tabs>
          <w:tab w:val="clear" w:pos="708"/>
          <w:tab w:val="left" w:pos="735" w:leader="none"/>
          <w:tab w:val="left" w:pos="1134" w:leader="none"/>
        </w:tabs>
        <w:spacing w:lineRule="auto" w:line="240" w:before="0" w:after="0"/>
        <w:ind w:hanging="0" w:left="0" w:right="0"/>
        <w:jc w:val="both"/>
        <w:rPr/>
      </w:pPr>
      <w:r>
        <w:rPr>
          <w:sz w:val="24"/>
          <w:szCs w:val="24"/>
        </w:rPr>
        <w:tab/>
        <w:t xml:space="preserve">3.1. </w:t>
      </w:r>
      <w:bookmarkStart w:id="13" w:name="_Ref361335465"/>
      <w:r>
        <w:rPr>
          <w:bCs/>
          <w:sz w:val="24"/>
          <w:szCs w:val="24"/>
        </w:rPr>
        <w:t xml:space="preserve">Цена </w:t>
      </w:r>
      <w:r>
        <w:rPr>
          <w:sz w:val="24"/>
          <w:szCs w:val="24"/>
        </w:rPr>
        <w:t xml:space="preserve">Договора </w:t>
      </w:r>
      <w:r>
        <w:rPr>
          <w:bCs/>
          <w:sz w:val="24"/>
          <w:szCs w:val="24"/>
        </w:rPr>
        <w:t xml:space="preserve">в соответствии со </w:t>
      </w:r>
      <w:r>
        <w:rPr>
          <w:bCs/>
          <w:color w:themeColor="text1" w:val="000000"/>
          <w:sz w:val="24"/>
          <w:szCs w:val="24"/>
        </w:rPr>
        <w:t>Сводным сметным расчетом стоимости строительства</w:t>
      </w:r>
      <w:r>
        <w:rPr>
          <w:bCs/>
          <w:sz w:val="24"/>
          <w:szCs w:val="24"/>
        </w:rPr>
        <w:t xml:space="preserve"> (Приложение № 3 к Договору) является предельной и составляет ___________ (_______________) рубля ___ копейки, в том числе НДС ______________(                          ) рублей ____ копеек. </w:t>
      </w:r>
    </w:p>
    <w:p>
      <w:pPr>
        <w:pStyle w:val="16"/>
        <w:numPr>
          <w:ilvl w:val="0"/>
          <w:numId w:val="0"/>
        </w:numPr>
        <w:ind w:hanging="0" w:left="709"/>
        <w:rPr/>
      </w:pPr>
      <w:r>
        <w:rPr/>
        <w:t>3.1.1.   Цена   проектных   работ   в   соответствии   со  сметой   на   проектные  работы</w:t>
      </w:r>
    </w:p>
    <w:p>
      <w:pPr>
        <w:pStyle w:val="16"/>
        <w:numPr>
          <w:ilvl w:val="0"/>
          <w:numId w:val="0"/>
        </w:numPr>
        <w:ind w:hanging="0" w:left="0"/>
        <w:rPr/>
      </w:pPr>
      <w:r>
        <w:rPr/>
        <w:t xml:space="preserve"> </w:t>
      </w:r>
      <w:r>
        <w:rPr/>
        <w:t xml:space="preserve">(Приложение №3.1 к Договору) является твердой и составляет </w:t>
      </w:r>
      <w:r>
        <w:rPr>
          <w:u w:val="single"/>
        </w:rPr>
        <w:t xml:space="preserve">                                  </w:t>
      </w:r>
      <w:r>
        <w:rPr/>
        <w:t xml:space="preserve">  (</w:t>
      </w:r>
      <w:r>
        <w:rPr>
          <w:u w:val="single"/>
        </w:rPr>
        <w:t xml:space="preserve">                                           </w:t>
      </w:r>
      <w:r>
        <w:rPr/>
        <w:t xml:space="preserve">) рубля       копеек, в том числе НДС </w:t>
      </w:r>
      <w:r>
        <w:rPr>
          <w:u w:val="single"/>
        </w:rPr>
        <w:t xml:space="preserve">              </w:t>
      </w:r>
      <w:r>
        <w:rPr/>
        <w:t xml:space="preserve"> ( </w:t>
      </w:r>
      <w:r>
        <w:rPr>
          <w:u w:val="single"/>
        </w:rPr>
        <w:t xml:space="preserve">                                             </w:t>
      </w:r>
      <w:r>
        <w:rPr/>
        <w:t xml:space="preserve"> ) рублей </w:t>
      </w:r>
      <w:r>
        <w:rPr>
          <w:u w:val="single"/>
        </w:rPr>
        <w:t xml:space="preserve">    </w:t>
      </w:r>
      <w:r>
        <w:rPr/>
        <w:t xml:space="preserve"> копейки;</w:t>
      </w:r>
    </w:p>
    <w:p>
      <w:pPr>
        <w:pStyle w:val="16"/>
        <w:numPr>
          <w:ilvl w:val="0"/>
          <w:numId w:val="0"/>
        </w:numPr>
        <w:ind w:firstLine="567" w:left="142"/>
        <w:rPr/>
      </w:pPr>
      <w:r>
        <w:rPr/>
        <w:t>3.1.2.</w:t>
        <w:tab/>
        <w:t xml:space="preserve">Предельная цена Работ (без учёта Проектных работ) составляет </w:t>
      </w:r>
      <w:r>
        <w:rPr>
          <w:u w:val="single"/>
        </w:rPr>
        <w:t xml:space="preserve">                  </w:t>
      </w:r>
      <w:r>
        <w:rPr/>
        <w:t xml:space="preserve"> </w:t>
      </w:r>
      <w:r>
        <w:rPr>
          <w:bCs/>
        </w:rPr>
        <w:t>(</w:t>
      </w:r>
      <w:r>
        <w:rPr>
          <w:bCs/>
          <w:u w:val="single"/>
        </w:rPr>
        <w:t xml:space="preserve">                              </w:t>
      </w:r>
      <w:r>
        <w:rPr>
          <w:bCs/>
        </w:rPr>
        <w:t xml:space="preserve"> )</w:t>
      </w:r>
      <w:r>
        <w:rPr/>
        <w:t xml:space="preserve"> рублей     копейки, в том числе НДС </w:t>
      </w:r>
      <w:r>
        <w:rPr>
          <w:u w:val="single"/>
        </w:rPr>
        <w:t xml:space="preserve">          </w:t>
      </w:r>
      <w:r>
        <w:rPr/>
        <w:t xml:space="preserve"> (</w:t>
      </w:r>
      <w:r>
        <w:rPr>
          <w:u w:val="single"/>
        </w:rPr>
        <w:t xml:space="preserve">                            </w:t>
      </w:r>
      <w:r>
        <w:rPr/>
        <w:t xml:space="preserve"> ) рублей </w:t>
      </w:r>
      <w:r>
        <w:rPr>
          <w:u w:val="single"/>
        </w:rPr>
        <w:t xml:space="preserve">    </w:t>
      </w:r>
      <w:r>
        <w:rPr/>
        <w:t xml:space="preserve"> копеек.</w:t>
      </w:r>
    </w:p>
    <w:p>
      <w:pPr>
        <w:pStyle w:val="ListParagraph"/>
        <w:numPr>
          <w:ilvl w:val="1"/>
          <w:numId w:val="3"/>
        </w:numPr>
        <w:ind w:firstLine="709" w:left="0"/>
        <w:jc w:val="both"/>
        <w:rPr/>
      </w:pPr>
      <w:bookmarkStart w:id="14" w:name="_Ref361834675"/>
      <w:bookmarkStart w:id="15" w:name="_Ref361858588"/>
      <w:bookmarkEnd w:id="13"/>
      <w:bookmarkEnd w:id="14"/>
      <w:bookmarkEnd w:id="15"/>
      <w:r>
        <w:rPr>
          <w:bCs/>
        </w:rPr>
        <w:t xml:space="preserve">Локальные сметные расчеты, Ведомость объемов работ на выполнение СМР подлежат согласованию Сторонами в течении 30 (тридцати) календарных дней с даты завершения и приемки Заказчиком Проектных работ. При несогласовании вышеуказанных документов в установленный срок Подрядчик обязан по соответствующему письменному требованию Заказчика приостановить исполнение Договора полностью или в части до момента такого согласования. </w:t>
      </w:r>
    </w:p>
    <w:p>
      <w:pPr>
        <w:pStyle w:val="ListParagraph"/>
        <w:numPr>
          <w:ilvl w:val="1"/>
          <w:numId w:val="3"/>
        </w:numPr>
        <w:ind w:firstLine="709" w:left="0"/>
        <w:jc w:val="both"/>
        <w:rPr/>
      </w:pPr>
      <w:r>
        <w:rPr>
          <w:bCs/>
        </w:rPr>
        <w:t>После согласования локальных сметных расчетов Стороны обязаны уточнить в пределах цены договора Сводный сметный расчет (Приложение № 3 к Договору) путем заключения дополнительного соглашения к Договору. В случае превышения стоимости Работ над ценой договора к стоимости работ по СМР применяется понижающий коэффициент.</w:t>
      </w:r>
    </w:p>
    <w:p>
      <w:pPr>
        <w:pStyle w:val="ListParagraph"/>
        <w:widowControl w:val="false"/>
        <w:numPr>
          <w:ilvl w:val="1"/>
          <w:numId w:val="3"/>
        </w:numPr>
        <w:tabs>
          <w:tab w:val="clear" w:pos="708"/>
          <w:tab w:val="left" w:pos="1134" w:leader="none"/>
        </w:tabs>
        <w:ind w:firstLine="709" w:left="0"/>
        <w:jc w:val="both"/>
        <w:rPr>
          <w:bCs/>
        </w:rPr>
      </w:pPr>
      <w:r>
        <w:rPr>
          <w:bCs/>
        </w:rPr>
        <w:t>Индексация Цены Договора не допускается.</w:t>
      </w:r>
    </w:p>
    <w:p>
      <w:pPr>
        <w:pStyle w:val="ListParagraph"/>
        <w:widowControl w:val="false"/>
        <w:numPr>
          <w:ilvl w:val="1"/>
          <w:numId w:val="3"/>
        </w:numPr>
        <w:tabs>
          <w:tab w:val="clear" w:pos="708"/>
          <w:tab w:val="left" w:pos="1134" w:leader="none"/>
        </w:tabs>
        <w:ind w:firstLine="710" w:left="0"/>
        <w:jc w:val="both"/>
        <w:rPr>
          <w:bCs/>
        </w:rPr>
      </w:pPr>
      <w:r>
        <w:rPr>
          <w:bCs/>
        </w:rPr>
        <w:t>Цена Договора включает в себя прибыль Подрядчика, а также все расходы и затраты Подрядчика на:</w:t>
      </w:r>
    </w:p>
    <w:p>
      <w:pPr>
        <w:pStyle w:val="ListParagraph"/>
        <w:numPr>
          <w:ilvl w:val="2"/>
          <w:numId w:val="3"/>
        </w:numPr>
        <w:shd w:val="clear" w:color="auto" w:fill="FFFFFF"/>
        <w:tabs>
          <w:tab w:val="clear" w:pos="708"/>
          <w:tab w:val="left" w:pos="1418" w:leader="none"/>
        </w:tabs>
        <w:ind w:firstLine="709" w:left="0"/>
        <w:jc w:val="both"/>
        <w:rPr>
          <w:bCs/>
        </w:rPr>
      </w:pPr>
      <w:r>
        <w:rPr>
          <w:bCs/>
        </w:rPr>
        <w:t>Выполнение проектных работ;</w:t>
      </w:r>
    </w:p>
    <w:p>
      <w:pPr>
        <w:pStyle w:val="ListParagraph"/>
        <w:numPr>
          <w:ilvl w:val="2"/>
          <w:numId w:val="3"/>
        </w:numPr>
        <w:shd w:val="clear" w:color="auto" w:fill="FFFFFF"/>
        <w:tabs>
          <w:tab w:val="clear" w:pos="708"/>
          <w:tab w:val="left" w:pos="1418" w:leader="none"/>
        </w:tabs>
        <w:ind w:firstLine="709" w:left="0"/>
        <w:jc w:val="both"/>
        <w:rPr>
          <w:bCs/>
        </w:rPr>
      </w:pPr>
      <w:r>
        <w:rPr>
          <w:bCs/>
        </w:rPr>
        <w:t>Строительно-монтажные работы, контроль качества сварных стыков (подготовка поверхности сварного соединения и околошовной зоны, ультразвуковая дефектоскопия трубопровода);</w:t>
      </w:r>
    </w:p>
    <w:p>
      <w:pPr>
        <w:pStyle w:val="ListParagraph"/>
        <w:widowControl w:val="false"/>
        <w:numPr>
          <w:ilvl w:val="2"/>
          <w:numId w:val="3"/>
        </w:numPr>
        <w:tabs>
          <w:tab w:val="clear" w:pos="708"/>
          <w:tab w:val="left" w:pos="1418" w:leader="none"/>
        </w:tabs>
        <w:ind w:firstLine="709" w:left="0"/>
        <w:jc w:val="both"/>
        <w:rPr/>
      </w:pPr>
      <w:r>
        <w:rPr/>
        <w:t>Изготовление, приобретение материально-технических ресурсов, необходимых для выполнения Работ по Договору;</w:t>
      </w:r>
    </w:p>
    <w:p>
      <w:pPr>
        <w:pStyle w:val="ListParagraph"/>
        <w:numPr>
          <w:ilvl w:val="2"/>
          <w:numId w:val="3"/>
        </w:numPr>
        <w:shd w:val="clear" w:color="auto" w:fill="FFFFFF"/>
        <w:tabs>
          <w:tab w:val="clear" w:pos="708"/>
          <w:tab w:val="left" w:pos="1418" w:leader="none"/>
        </w:tabs>
        <w:ind w:firstLine="709" w:left="0"/>
        <w:jc w:val="both"/>
        <w:rPr/>
      </w:pPr>
      <w:r>
        <w:rPr/>
        <w:t xml:space="preserve">Заработную плату, накладные и командировочные расходы, перемещение </w:t>
        <w:br/>
        <w:t xml:space="preserve">и размещение персонала Подрядчика. </w:t>
      </w:r>
    </w:p>
    <w:p>
      <w:pPr>
        <w:pStyle w:val="ListParagraph"/>
        <w:numPr>
          <w:ilvl w:val="2"/>
          <w:numId w:val="3"/>
        </w:numPr>
        <w:shd w:val="clear" w:color="auto" w:fill="FFFFFF"/>
        <w:tabs>
          <w:tab w:val="clear" w:pos="708"/>
          <w:tab w:val="left" w:pos="1418" w:leader="none"/>
        </w:tabs>
        <w:ind w:firstLine="709" w:left="0"/>
        <w:jc w:val="both"/>
        <w:rPr/>
      </w:pPr>
      <w:r>
        <w:rPr/>
        <w:t xml:space="preserve">Подлежащие уплате налоги, сборы и пошлины (в том числе по таможенному оформлению и Материально-технических ресурсов, если применимо). </w:t>
      </w:r>
    </w:p>
    <w:p>
      <w:pPr>
        <w:pStyle w:val="ListParagraph"/>
        <w:numPr>
          <w:ilvl w:val="2"/>
          <w:numId w:val="3"/>
        </w:numPr>
        <w:shd w:val="clear" w:color="auto" w:fill="FFFFFF"/>
        <w:tabs>
          <w:tab w:val="clear" w:pos="708"/>
          <w:tab w:val="left" w:pos="1418" w:leader="none"/>
        </w:tabs>
        <w:ind w:firstLine="709" w:left="0"/>
        <w:jc w:val="both"/>
        <w:rPr/>
      </w:pPr>
      <w:r>
        <w:rPr/>
        <w:t xml:space="preserve">Все прочие затраты и расходы Подрядчика, связанные выполнением Работ, поставкой Материалов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pPr>
        <w:pStyle w:val="ListParagraph"/>
        <w:numPr>
          <w:ilvl w:val="1"/>
          <w:numId w:val="3"/>
        </w:numPr>
        <w:tabs>
          <w:tab w:val="clear" w:pos="708"/>
          <w:tab w:val="left" w:pos="1134" w:leader="none"/>
        </w:tabs>
        <w:rPr>
          <w:bCs/>
        </w:rPr>
      </w:pPr>
      <w:bookmarkStart w:id="16" w:name="_Ref361834251"/>
      <w:bookmarkStart w:id="17" w:name="_Ref361834675_Копия_1"/>
      <w:bookmarkStart w:id="18" w:name="_Ref361858588_Копия_1"/>
      <w:bookmarkEnd w:id="17"/>
      <w:bookmarkEnd w:id="18"/>
      <w:r>
        <w:rPr>
          <w:bCs/>
        </w:rPr>
        <w:t xml:space="preserve">Оплата по Договору осуществляется Заказчиком в следующем порядке: </w:t>
      </w:r>
    </w:p>
    <w:p>
      <w:pPr>
        <w:pStyle w:val="ListParagraph"/>
        <w:numPr>
          <w:ilvl w:val="2"/>
          <w:numId w:val="3"/>
        </w:numPr>
        <w:tabs>
          <w:tab w:val="clear" w:pos="708"/>
          <w:tab w:val="left" w:pos="1276" w:leader="none"/>
        </w:tabs>
        <w:spacing w:before="0" w:after="0"/>
        <w:ind w:firstLine="709" w:left="0"/>
        <w:contextualSpacing/>
        <w:jc w:val="both"/>
        <w:rPr>
          <w:bCs/>
          <w:sz w:val="24"/>
          <w:szCs w:val="24"/>
        </w:rPr>
      </w:pPr>
      <w:r>
        <w:rPr/>
        <w:t xml:space="preserve">Подрядчик не позднее, чем за 3 (три) рабочих дня до предполагаемой даты </w:t>
      </w:r>
      <w:r>
        <w:rPr>
          <w:sz w:val="24"/>
          <w:szCs w:val="24"/>
        </w:rPr>
        <w:t>выплаты авансового платежа, обязан предоставить Заказчику Независимую гарантию надлежащего исполнения Договора в размере авансового платежа соответствующую требованиям, установленным разделом 6 Договора.</w:t>
      </w:r>
      <w:r>
        <w:rPr>
          <w:bCs/>
          <w:sz w:val="24"/>
          <w:szCs w:val="24"/>
        </w:rPr>
        <w:t xml:space="preserve"> В случае невыполнения данного обязательства и при отсутствии соглашения сторон об ином, Заказчик вправе не выплачивать аванс по Договору до устранения нарушений со стороны Подрядчика без применения к Заказчику мер ответственности за просрочку платежа, предусмотренных законодательством Российской Федерации и Договором.</w:t>
      </w:r>
    </w:p>
    <w:p>
      <w:pPr>
        <w:pStyle w:val="ListParagraph"/>
        <w:numPr>
          <w:ilvl w:val="2"/>
          <w:numId w:val="3"/>
        </w:numPr>
        <w:tabs>
          <w:tab w:val="clear" w:pos="708"/>
          <w:tab w:val="left" w:pos="1276" w:leader="none"/>
        </w:tabs>
        <w:spacing w:before="0" w:after="0"/>
        <w:ind w:firstLine="709" w:left="0"/>
        <w:contextualSpacing/>
        <w:jc w:val="both"/>
        <w:rPr>
          <w:highlight w:val="white"/>
        </w:rPr>
      </w:pPr>
      <w:r>
        <w:rPr>
          <w:bCs/>
        </w:rPr>
        <w:t xml:space="preserve"> </w:t>
      </w:r>
      <w:r>
        <w:rPr>
          <w:bCs/>
        </w:rPr>
        <w:t xml:space="preserve">Заказчик </w:t>
      </w:r>
      <w:r>
        <w:rPr/>
        <w:t>производит предварительную оплату (авансирование) в размере 10 % (десяти процентов)  от стоимости каждого этапа работ по Договору (за исключением непредвиденных работ и затрат), в течение 30-ти (тридцати) календарных дней с даты получения заказчиком счета, но не ранее, чем за 30 (тридцать) календарных дней до даты начала выполнения каждого этапа Работ, определенной в соответствии с  Граф</w:t>
      </w:r>
      <w:r>
        <w:rPr>
          <w:highlight w:val="white"/>
        </w:rPr>
        <w:t>иком производства и финансирования работ (Приложение № 2 к Договору)  и с учетом пункта 3.6.1, 3.6.5 Договор</w:t>
      </w:r>
      <w:r>
        <w:rPr>
          <w:bCs/>
          <w:highlight w:val="white"/>
        </w:rPr>
        <w:t>а.</w:t>
      </w:r>
    </w:p>
    <w:p>
      <w:pPr>
        <w:pStyle w:val="ListParagraph"/>
        <w:numPr>
          <w:ilvl w:val="2"/>
          <w:numId w:val="3"/>
        </w:numPr>
        <w:tabs>
          <w:tab w:val="clear" w:pos="708"/>
          <w:tab w:val="left" w:pos="1276" w:leader="none"/>
        </w:tabs>
        <w:spacing w:before="0" w:after="0"/>
        <w:ind w:firstLine="709" w:left="0"/>
        <w:contextualSpacing/>
        <w:jc w:val="both"/>
        <w:rPr/>
      </w:pPr>
      <w:r>
        <w:rPr/>
        <w:t xml:space="preserve"> </w:t>
      </w:r>
      <w:r>
        <w:rPr/>
        <w:t xml:space="preserve">Последующие платежи в  размере  90 (девяносто) процентов от стоимости каждого этапа работ по Договору выплачиваются  в  течение  7  (семи)  рабочих  дней с даты подписания Сторонами документов, указанных в пункте 4.1, 4.2 Договора, на основании счёта, выставленного Подрядчиком (по форме Приложение №16), и с учетом пунктов 3.6.4, 3.6.5 Договора.  </w:t>
      </w:r>
    </w:p>
    <w:p>
      <w:pPr>
        <w:pStyle w:val="ListParagraph"/>
        <w:numPr>
          <w:ilvl w:val="0"/>
          <w:numId w:val="0"/>
        </w:numPr>
        <w:tabs>
          <w:tab w:val="clear" w:pos="708"/>
          <w:tab w:val="left" w:pos="1276" w:leader="none"/>
        </w:tabs>
        <w:spacing w:before="0" w:after="0"/>
        <w:ind w:hanging="0" w:left="0"/>
        <w:contextualSpacing/>
        <w:jc w:val="both"/>
        <w:rPr>
          <w:highlight w:val="none"/>
          <w:shd w:fill="auto" w:val="clear"/>
        </w:rPr>
      </w:pPr>
      <w:r>
        <w:rPr>
          <w:shd w:fill="auto" w:val="clear"/>
        </w:rPr>
        <w:t xml:space="preserve">                 </w:t>
      </w:r>
      <w:r>
        <w:rPr>
          <w:shd w:fill="auto" w:val="clear"/>
        </w:rPr>
        <w:t>Платеж, совершаемый на основании документа, указанного в пункте 4.1.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pPr>
        <w:pStyle w:val="ListParagraph"/>
        <w:numPr>
          <w:ilvl w:val="2"/>
          <w:numId w:val="3"/>
        </w:numPr>
        <w:tabs>
          <w:tab w:val="clear" w:pos="708"/>
          <w:tab w:val="left" w:pos="1276" w:leader="none"/>
        </w:tabs>
        <w:spacing w:before="0" w:after="0"/>
        <w:ind w:firstLine="709" w:left="0"/>
        <w:contextualSpacing/>
        <w:jc w:val="both"/>
        <w:rPr>
          <w:highlight w:val="none"/>
          <w:shd w:fill="auto" w:val="clear"/>
        </w:rPr>
      </w:pPr>
      <w:r>
        <w:rPr>
          <w:shd w:fill="auto" w:val="clear"/>
        </w:rPr>
        <w:t>В случае отказа Подрядчика от выплаты аванса, о чем он должен письменно уведомить Заказчика, Подрядчик предоставляет Заказчику Независимую гарантию надлежащего исполнения договора в размере 5% (пять процентов) от цены Договора не позднее, чем за 3 (три) рабочих дня до предполагаемой даты выплаты первого платежа по Договору, соответствующую требованиям, установленным разделом 6 Договора. В случае невыполнения данного обязательства и при отсутствии соглашения Сторон об ином Заказчик вправе удерживать 5% (пять процентов) от цены Работ при выплате каждого платежа, причитающегося Подрядчику,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pPr>
        <w:pStyle w:val="ListParagraph"/>
        <w:tabs>
          <w:tab w:val="clear" w:pos="708"/>
          <w:tab w:val="left" w:pos="1276" w:leader="none"/>
          <w:tab w:val="left" w:pos="1418" w:leader="none"/>
        </w:tabs>
        <w:ind w:firstLine="709" w:left="0"/>
        <w:jc w:val="both"/>
        <w:rPr>
          <w:highlight w:val="none"/>
          <w:shd w:fill="auto" w:val="clear"/>
        </w:rPr>
      </w:pPr>
      <w:r>
        <w:rPr>
          <w:shd w:fill="auto" w:val="clear"/>
        </w:rPr>
        <w:t xml:space="preserve">Выплата Обеспечительного платежа производится в течение 7 (семи) рабочих дней, с даты получения Заказчиком счета, выставленного Подрядчиком, но не ранее 70 (семидесяти) календарных дней с даты подписания Сторонами Акта КС-11 (Приложение №15).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в случае, если иное не установлено в соответствующем соглашении о расторжении Договора. </w:t>
      </w:r>
    </w:p>
    <w:p>
      <w:pPr>
        <w:pStyle w:val="Normal"/>
        <w:tabs>
          <w:tab w:val="clear" w:pos="708"/>
          <w:tab w:val="left" w:pos="1418" w:leader="none"/>
        </w:tabs>
        <w:spacing w:lineRule="auto" w:line="240"/>
        <w:ind w:firstLine="709" w:left="0" w:right="0"/>
        <w:jc w:val="both"/>
        <w:rPr>
          <w:highlight w:val="none"/>
          <w:shd w:fill="auto" w:val="clear"/>
        </w:rPr>
      </w:pPr>
      <w:r>
        <w:rPr>
          <w:sz w:val="24"/>
          <w:szCs w:val="24"/>
          <w:shd w:fill="auto" w:val="clear"/>
        </w:rPr>
        <w:t>Любое требование Подрядчика о выплате Обеспечительного платежа до наступления установленного Договором срока не подлежит удовлетворению.</w:t>
      </w:r>
    </w:p>
    <w:p>
      <w:pPr>
        <w:pStyle w:val="ListParagraph"/>
        <w:numPr>
          <w:ilvl w:val="2"/>
          <w:numId w:val="3"/>
        </w:numPr>
        <w:tabs>
          <w:tab w:val="clear" w:pos="708"/>
          <w:tab w:val="left" w:pos="1418" w:leader="none"/>
        </w:tabs>
        <w:ind w:firstLine="709" w:left="0"/>
        <w:jc w:val="both"/>
        <w:rPr>
          <w:color w:val="000000"/>
        </w:rPr>
      </w:pPr>
      <w:r>
        <w:rPr>
          <w:color w:val="000000"/>
        </w:rPr>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pPr>
        <w:pStyle w:val="ListParagraph"/>
        <w:numPr>
          <w:ilvl w:val="1"/>
          <w:numId w:val="3"/>
        </w:numPr>
        <w:tabs>
          <w:tab w:val="clear" w:pos="708"/>
          <w:tab w:val="left" w:pos="1134" w:leader="none"/>
        </w:tabs>
        <w:ind w:firstLine="709" w:left="0"/>
        <w:jc w:val="both"/>
        <w:rPr>
          <w:bCs/>
        </w:rPr>
      </w:pPr>
      <w:r>
        <w:rPr>
          <w:bCs/>
        </w:rPr>
        <w:t>Расчеты по Договору осуществляются в валюте Российской Федерации. Оплата производи</w:t>
      </w:r>
      <w:r>
        <w:rPr>
          <w:bCs/>
          <w:highlight w:val="white"/>
        </w:rPr>
        <w:t xml:space="preserve">тся Заказчиком путем перечисления </w:t>
      </w:r>
      <w:r>
        <w:rPr>
          <w:bCs/>
        </w:rPr>
        <w:t>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p>
    <w:p>
      <w:pPr>
        <w:pStyle w:val="ListParagraph"/>
        <w:numPr>
          <w:ilvl w:val="1"/>
          <w:numId w:val="3"/>
        </w:numPr>
        <w:tabs>
          <w:tab w:val="clear" w:pos="708"/>
          <w:tab w:val="left" w:pos="1134" w:leader="none"/>
        </w:tabs>
        <w:ind w:firstLine="709" w:left="0"/>
        <w:jc w:val="both"/>
        <w:rPr>
          <w:bCs/>
        </w:rPr>
      </w:pPr>
      <w:bookmarkStart w:id="19" w:name="_Ref361336647"/>
      <w:r>
        <w:rPr>
          <w:bCs/>
        </w:rPr>
        <w:t>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выполненных Подрядчиком работ.</w:t>
      </w:r>
    </w:p>
    <w:p>
      <w:pPr>
        <w:pStyle w:val="ListParagraph"/>
        <w:tabs>
          <w:tab w:val="clear" w:pos="708"/>
          <w:tab w:val="left" w:pos="1134" w:leader="none"/>
        </w:tabs>
        <w:ind w:firstLine="709" w:left="0"/>
        <w:jc w:val="both"/>
        <w:rPr>
          <w:bCs/>
        </w:rPr>
      </w:pPr>
      <w:r>
        <w:rPr/>
        <w:t>Заказчик направляет Подрядчику уведомление о проведении сальдо взаимных обязательств Сторон по Договору.</w:t>
      </w:r>
    </w:p>
    <w:p>
      <w:pPr>
        <w:pStyle w:val="ListParagraph"/>
        <w:numPr>
          <w:ilvl w:val="1"/>
          <w:numId w:val="3"/>
        </w:numPr>
        <w:tabs>
          <w:tab w:val="clear" w:pos="708"/>
          <w:tab w:val="left" w:pos="1134" w:leader="none"/>
        </w:tabs>
        <w:ind w:firstLine="709" w:left="0"/>
        <w:jc w:val="both"/>
        <w:rPr>
          <w:bCs/>
        </w:rPr>
      </w:pPr>
      <w:bookmarkStart w:id="20" w:name="_Ref361834206"/>
      <w:r>
        <w:rPr>
          <w:bCs/>
        </w:rPr>
        <w:t>Если изменения, указанные в пункт</w:t>
      </w:r>
      <w:r>
        <w:rPr>
          <w:bCs/>
          <w:highlight w:val="white"/>
        </w:rPr>
        <w:t xml:space="preserve">е 2.2.5 </w:t>
      </w:r>
      <w:r>
        <w:rPr>
          <w:bCs/>
        </w:rPr>
        <w:t>Договора, приводят к существенному увеличению Цены Договора, то Подрядчик обязан сообщить об этом Заказчику не позднее 3 (трех) рабочих дней с даты получения соответствующего письменного распоряжения Заказчика. Стороны, при наступлении указанных обстоятельств, обязаны подписать дополнительное соглашение к Договору.</w:t>
      </w:r>
      <w:bookmarkEnd w:id="19"/>
      <w:bookmarkEnd w:id="20"/>
    </w:p>
    <w:p>
      <w:pPr>
        <w:pStyle w:val="ListParagraph"/>
        <w:numPr>
          <w:ilvl w:val="1"/>
          <w:numId w:val="3"/>
        </w:numPr>
        <w:tabs>
          <w:tab w:val="clear" w:pos="708"/>
          <w:tab w:val="left" w:pos="1134" w:leader="none"/>
        </w:tabs>
        <w:ind w:firstLine="709" w:left="0"/>
        <w:jc w:val="both"/>
        <w:rPr>
          <w:bCs/>
        </w:rPr>
      </w:pPr>
      <w:r>
        <w:rPr>
          <w:bCs/>
        </w:rPr>
        <w:t xml:space="preserve">За исключением случая, указанного в пункте 3.9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pPr>
        <w:pStyle w:val="ListParagraph"/>
        <w:numPr>
          <w:ilvl w:val="1"/>
          <w:numId w:val="3"/>
        </w:numPr>
        <w:tabs>
          <w:tab w:val="clear" w:pos="708"/>
          <w:tab w:val="left" w:pos="1134" w:leader="none"/>
        </w:tabs>
        <w:ind w:firstLine="709" w:left="0"/>
        <w:jc w:val="both"/>
        <w:rPr>
          <w:bCs/>
        </w:rPr>
      </w:pPr>
      <w:r>
        <w:rPr/>
        <w:t>Оплата непредвиденных работ и затрат осуществляется Заказчиком в следующем порядке</w:t>
      </w:r>
      <w:r>
        <w:rPr>
          <w:bCs/>
        </w:rPr>
        <w:t>:</w:t>
      </w:r>
    </w:p>
    <w:p>
      <w:pPr>
        <w:pStyle w:val="ListParagraph"/>
        <w:numPr>
          <w:ilvl w:val="2"/>
          <w:numId w:val="3"/>
        </w:numPr>
        <w:tabs>
          <w:tab w:val="clear" w:pos="708"/>
          <w:tab w:val="left" w:pos="1418" w:leader="none"/>
        </w:tabs>
        <w:ind w:firstLine="709" w:left="0"/>
        <w:jc w:val="both"/>
        <w:rPr/>
      </w:pPr>
      <w:r>
        <w:rPr/>
        <w:t>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(Приложение № 3 к Договору).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с пункто</w:t>
      </w:r>
      <w:r>
        <w:rPr>
          <w:highlight w:val="white"/>
        </w:rPr>
        <w:t xml:space="preserve">м 4.2 </w:t>
      </w:r>
      <w:r>
        <w:rPr/>
        <w:t>Договора. Оплата непредвиденных работ и затрат производится Заказчиком в течение 7 (семи) рабочих дней,</w:t>
      </w:r>
      <w:r>
        <w:rPr>
          <w:sz w:val="28"/>
          <w:szCs w:val="28"/>
        </w:rPr>
        <w:t xml:space="preserve"> </w:t>
      </w:r>
      <w:r>
        <w:rPr/>
        <w:t xml:space="preserve">с даты подписания Акта освидетельствования выполненных работ, на основании счета, выставленного Подрядчиком. Стоимость непредвиденных работ и затрат включается в </w:t>
      </w:r>
      <w:r>
        <w:rPr>
          <w:bCs/>
        </w:rPr>
        <w:t>общую сумму Акта КС-2</w:t>
      </w:r>
      <w:r>
        <w:rPr>
          <w:bCs/>
          <w:highlight w:val="white"/>
        </w:rPr>
        <w:t xml:space="preserve"> (Приложение №13),</w:t>
      </w:r>
      <w:r>
        <w:rPr>
          <w:bCs/>
        </w:rPr>
        <w:t xml:space="preserve"> подписываемого Сторонами в соответствии с пунктом 4.4 Договора.</w:t>
      </w:r>
    </w:p>
    <w:p>
      <w:pPr>
        <w:pStyle w:val="ListParagraph"/>
        <w:numPr>
          <w:ilvl w:val="2"/>
          <w:numId w:val="3"/>
        </w:numPr>
        <w:tabs>
          <w:tab w:val="clear" w:pos="708"/>
          <w:tab w:val="left" w:pos="1418" w:leader="none"/>
        </w:tabs>
        <w:ind w:firstLine="709" w:left="0"/>
        <w:jc w:val="both"/>
        <w:rPr/>
      </w:pPr>
      <w:r>
        <w:rPr/>
        <w:t>Ценообразующие факторы смет на непредвиденные работы аналогичны учтенным в сметах на выполнение СМР, включая понижающие коэффициенты, включенные в сметы по результатам проведения конкурентных процедур.</w:t>
      </w:r>
    </w:p>
    <w:p>
      <w:pPr>
        <w:pStyle w:val="ListParagraph"/>
        <w:numPr>
          <w:ilvl w:val="1"/>
          <w:numId w:val="3"/>
        </w:numPr>
        <w:tabs>
          <w:tab w:val="clear" w:pos="708"/>
          <w:tab w:val="left" w:pos="1134" w:leader="none"/>
        </w:tabs>
        <w:ind w:firstLine="709" w:left="0"/>
        <w:jc w:val="both"/>
        <w:rPr>
          <w:bCs/>
        </w:rPr>
      </w:pPr>
      <w:r>
        <w:rPr/>
        <w:t>Затраты на командировочные расходы на стадии выполнения, определяются по фактическим затратам в пределах учтенной в смете величины, с учетом суточных в размере 700 рублей в сутки.</w:t>
      </w:r>
    </w:p>
    <w:p>
      <w:pPr>
        <w:pStyle w:val="ListParagraph"/>
        <w:shd w:val="clear" w:color="auto" w:fill="FFFFFF"/>
        <w:ind w:firstLine="708" w:left="0"/>
        <w:jc w:val="both"/>
        <w:rPr>
          <w:bCs/>
        </w:rPr>
      </w:pPr>
      <w:r>
        <w:rPr>
          <w:bCs/>
        </w:rPr>
        <w:t>Командировочные расходы включаются в стоимость Работ в соответствии с расчетом, прилагаемым к Сводному сметному расчету (Приложение № 3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Работ. Подрядчик обязан представлять по запросу Заказчика копии следующих документов, заверенных Подрядчиком: приказ о командировке, проездные билеты, счета на оплату за проживание в гостинице и авансовые отчеты.</w:t>
      </w:r>
    </w:p>
    <w:p>
      <w:pPr>
        <w:pStyle w:val="ListParagraph"/>
        <w:numPr>
          <w:ilvl w:val="1"/>
          <w:numId w:val="3"/>
        </w:numPr>
        <w:shd w:val="clear" w:color="auto" w:fill="FFFFFF"/>
        <w:tabs>
          <w:tab w:val="clear" w:pos="708"/>
          <w:tab w:val="left" w:pos="1418" w:leader="none"/>
        </w:tabs>
        <w:ind w:firstLine="709" w:left="0"/>
        <w:jc w:val="both"/>
        <w:rPr>
          <w:highlight w:val="white"/>
        </w:rPr>
      </w:pPr>
      <w:r>
        <w:rPr>
          <w:bCs/>
        </w:rPr>
        <w:t>Расходы за утилизацию строительного мусора принимается на основании пред</w:t>
      </w:r>
      <w:r>
        <w:rPr>
          <w:bCs/>
          <w:highlight w:val="white"/>
        </w:rPr>
        <w:t>ставленных в составе исполнительной документации отчетных документов (договоров со сторонними организациями на оказание услуг по утилизации мусора, талонов или иных действующих в муниципальном образовании документов на утилизацию) пределах учтенной в смете суммы.</w:t>
      </w:r>
      <w:bookmarkEnd w:id="16"/>
    </w:p>
    <w:p>
      <w:pPr>
        <w:pStyle w:val="ListParagraph"/>
        <w:tabs>
          <w:tab w:val="clear" w:pos="708"/>
          <w:tab w:val="left" w:pos="1134" w:leader="none"/>
        </w:tabs>
        <w:ind w:hanging="0" w:left="709"/>
        <w:jc w:val="both"/>
        <w:rPr>
          <w:bCs/>
          <w:highlight w:val="white"/>
        </w:rPr>
      </w:pPr>
      <w:r>
        <w:rPr>
          <w:bCs/>
          <w:highlight w:val="white"/>
        </w:rPr>
      </w:r>
    </w:p>
    <w:p>
      <w:pPr>
        <w:pStyle w:val="ListParagraph"/>
        <w:numPr>
          <w:ilvl w:val="0"/>
          <w:numId w:val="3"/>
        </w:numPr>
        <w:tabs>
          <w:tab w:val="clear" w:pos="708"/>
          <w:tab w:val="left" w:pos="284" w:leader="none"/>
        </w:tabs>
        <w:ind w:hanging="0" w:left="0"/>
        <w:jc w:val="center"/>
        <w:rPr>
          <w:b/>
          <w:bCs/>
          <w:highlight w:val="white"/>
        </w:rPr>
      </w:pPr>
      <w:r>
        <w:rPr>
          <w:b/>
          <w:bCs/>
          <w:highlight w:val="white"/>
        </w:rPr>
        <w:t>Порядок сдачи-приемки Работ</w:t>
      </w:r>
    </w:p>
    <w:p>
      <w:pPr>
        <w:pStyle w:val="Normal"/>
        <w:widowControl w:val="false"/>
        <w:tabs>
          <w:tab w:val="clear" w:pos="708"/>
          <w:tab w:val="left" w:pos="709" w:leader="none"/>
          <w:tab w:val="left" w:pos="1134" w:leader="none"/>
        </w:tabs>
        <w:spacing w:lineRule="auto" w:line="240"/>
        <w:ind w:hanging="0" w:left="709"/>
        <w:jc w:val="both"/>
        <w:rPr>
          <w:sz w:val="24"/>
          <w:szCs w:val="24"/>
        </w:rPr>
      </w:pPr>
      <w:r>
        <w:rPr>
          <w:sz w:val="24"/>
          <w:szCs w:val="24"/>
        </w:rPr>
        <w:t xml:space="preserve">4.1.  </w:t>
      </w:r>
      <w:bookmarkStart w:id="21" w:name="_Ref361335138"/>
      <w:bookmarkStart w:id="22" w:name="_Ref373242517"/>
      <w:bookmarkStart w:id="23" w:name="_Ref361336754"/>
      <w:r>
        <w:rPr>
          <w:bCs/>
          <w:sz w:val="24"/>
          <w:szCs w:val="24"/>
          <w:highlight w:val="white"/>
        </w:rPr>
        <w:t xml:space="preserve"> По    завершении    выпол</w:t>
      </w:r>
      <w:r>
        <w:rPr>
          <w:bCs/>
          <w:sz w:val="24"/>
          <w:szCs w:val="24"/>
        </w:rPr>
        <w:t>нения    1-го    Этапа    работ    (разработка    проектной</w:t>
      </w:r>
    </w:p>
    <w:p>
      <w:pPr>
        <w:pStyle w:val="Normal"/>
        <w:widowControl w:val="false"/>
        <w:tabs>
          <w:tab w:val="clear" w:pos="708"/>
          <w:tab w:val="left" w:pos="709" w:leader="none"/>
          <w:tab w:val="left" w:pos="1134" w:leader="none"/>
        </w:tabs>
        <w:spacing w:lineRule="auto" w:line="240"/>
        <w:ind w:hanging="0" w:left="0"/>
        <w:jc w:val="both"/>
        <w:rPr/>
      </w:pPr>
      <w:r>
        <w:rPr>
          <w:bCs/>
          <w:sz w:val="24"/>
          <w:szCs w:val="24"/>
        </w:rPr>
        <w:t>документации включая сметную) Подрядчик в течение 5 (пяти) рабочих дней представляет Заказчику подписанный со своей стороны в 2 (двух) экземплярах Акт сдачи-приемки Проектных работ по форме Прило</w:t>
      </w:r>
      <w:r>
        <w:rPr>
          <w:bCs/>
          <w:sz w:val="24"/>
          <w:szCs w:val="24"/>
          <w:highlight w:val="white"/>
        </w:rPr>
        <w:t xml:space="preserve">жения № 9 </w:t>
      </w:r>
      <w:r>
        <w:rPr>
          <w:bCs/>
          <w:sz w:val="24"/>
          <w:szCs w:val="24"/>
        </w:rPr>
        <w:t>к Договору с приложением результата Проектных работ. Датой выполнения Проектных работ является дата подписания Сторонами Акта сдачи-приемки Проектных работ.</w:t>
        <w:tab/>
      </w:r>
    </w:p>
    <w:p>
      <w:pPr>
        <w:pStyle w:val="ListParagraph"/>
        <w:widowControl w:val="false"/>
        <w:ind w:firstLine="709" w:left="0"/>
        <w:jc w:val="both"/>
        <w:rPr>
          <w:bCs/>
          <w:color w:themeColor="background1" w:val="FFFFFF"/>
        </w:rPr>
      </w:pPr>
      <w:r>
        <w:rPr>
          <w:bCs/>
        </w:rPr>
        <w:t>Заказчик в течение 10 (десяти) рабочих дней со дня получения Акта сдачи-приемки Проектных работ обязан направить Подрядчику подписанный Акт сдачи-приемки Проектных работ, либо письменный мотивированный отказ от приемки Проектных работ (далее – «Ведомость замечаний»), в котором отражает недостатки Проектных работ, а также срок на их устранение.</w:t>
      </w:r>
      <w:r>
        <w:rPr>
          <w:bCs/>
          <w:color w:themeColor="background1" w:val="FFFFFF"/>
        </w:rPr>
        <w:t xml:space="preserve">………………………………………………………………………. </w:t>
      </w:r>
      <w:r>
        <w:rPr>
          <w:bCs/>
        </w:rPr>
        <w:t xml:space="preserve">       </w:t>
      </w:r>
    </w:p>
    <w:p>
      <w:pPr>
        <w:pStyle w:val="ListParagraph"/>
        <w:widowControl w:val="false"/>
        <w:numPr>
          <w:ilvl w:val="1"/>
          <w:numId w:val="3"/>
        </w:numPr>
        <w:tabs>
          <w:tab w:val="clear" w:pos="708"/>
          <w:tab w:val="left" w:pos="0" w:leader="none"/>
          <w:tab w:val="left" w:pos="709" w:leader="none"/>
        </w:tabs>
        <w:ind w:firstLine="710" w:left="0"/>
        <w:jc w:val="both"/>
        <w:rPr>
          <w:bCs/>
        </w:rPr>
      </w:pPr>
      <w:r>
        <w:rPr>
          <w:bCs/>
        </w:rPr>
        <w:t>По завершении выполнения промежуточных (ежемесячных) объемов работ по 2-му этапу, Подрядчик в срок до 25 (двадцать пятого) числа текущего месяца, представляет Заказчику подписанный со своей стороны в 2 (двух) экземплярах Акт освидетельствования выполненных работ по форме Приложе</w:t>
      </w:r>
      <w:r>
        <w:rPr>
          <w:bCs/>
          <w:highlight w:val="white"/>
        </w:rPr>
        <w:t>ния № 1</w:t>
      </w:r>
      <w:r>
        <w:rPr>
          <w:bCs/>
        </w:rPr>
        <w:t>1 к Договору,</w:t>
      </w:r>
      <w:r>
        <w:rPr/>
        <w:t xml:space="preserve"> </w:t>
      </w:r>
      <w:r>
        <w:rPr>
          <w:bCs/>
        </w:rPr>
        <w:t xml:space="preserve">с приложением Приемо-сдаточной и Исполнительной документации </w:t>
      </w:r>
      <w:r>
        <w:rPr/>
        <w:t>в 3 (трех) экземплярах</w:t>
      </w:r>
      <w:bookmarkEnd w:id="21"/>
      <w:bookmarkEnd w:id="22"/>
      <w:bookmarkEnd w:id="23"/>
      <w:r>
        <w:rPr>
          <w:sz w:val="28"/>
          <w:szCs w:val="28"/>
        </w:rPr>
        <w:t xml:space="preserve"> </w:t>
      </w:r>
      <w:r>
        <w:rPr/>
        <w:t xml:space="preserve">на бумажном носителе и  электронном виде в формате </w:t>
      </w:r>
      <w:r>
        <w:rPr>
          <w:lang w:val="en-US"/>
        </w:rPr>
        <w:t>pdf</w:t>
      </w:r>
      <w:r>
        <w:rPr/>
        <w:t>, размещаемой на сетевом ресурсе в соответствии с Прило</w:t>
      </w:r>
      <w:r>
        <w:rPr>
          <w:highlight w:val="white"/>
        </w:rPr>
        <w:t xml:space="preserve">жением № 19 </w:t>
      </w:r>
      <w:r>
        <w:rPr/>
        <w:t xml:space="preserve">Договора, а также </w:t>
      </w:r>
      <w:r>
        <w:rPr>
          <w:bCs/>
        </w:rPr>
        <w:t>материального отчета (форма М-29).</w:t>
      </w:r>
    </w:p>
    <w:p>
      <w:pPr>
        <w:pStyle w:val="ListParagraph"/>
        <w:widowControl w:val="false"/>
        <w:tabs>
          <w:tab w:val="clear" w:pos="708"/>
          <w:tab w:val="left" w:pos="0" w:leader="none"/>
        </w:tabs>
        <w:ind w:firstLine="710" w:left="0"/>
        <w:jc w:val="both"/>
        <w:rPr>
          <w:bCs/>
        </w:rPr>
      </w:pPr>
      <w:r>
        <w:rPr>
          <w:bCs/>
        </w:rPr>
        <w:t>Акты освидетельствования, подтверждающие выполнение промежуточных работ для проведения расчетов, не являются документами, с которыми закон связывает переход права собственности и рисков случайной гибели на Заказчика.</w:t>
        <w:tab/>
        <w:br/>
        <w:t xml:space="preserve">           Приемка выполненных Работ осуществляется только при предоставлении Подрядчиком Заказчику подтверждающего комплекта документации:</w:t>
      </w:r>
    </w:p>
    <w:p>
      <w:pPr>
        <w:pStyle w:val="ListParagraph"/>
        <w:numPr>
          <w:ilvl w:val="1"/>
          <w:numId w:val="20"/>
        </w:numPr>
        <w:tabs>
          <w:tab w:val="clear" w:pos="708"/>
          <w:tab w:val="left" w:pos="709" w:leader="none"/>
        </w:tabs>
        <w:ind w:firstLine="709" w:left="0"/>
        <w:jc w:val="both"/>
        <w:rPr>
          <w:bCs/>
        </w:rPr>
      </w:pPr>
      <w:r>
        <w:rPr>
          <w:bCs/>
        </w:rPr>
        <w:t>комплект Исполнительной документации;</w:t>
      </w:r>
    </w:p>
    <w:p>
      <w:pPr>
        <w:pStyle w:val="ListParagraph"/>
        <w:numPr>
          <w:ilvl w:val="1"/>
          <w:numId w:val="20"/>
        </w:numPr>
        <w:tabs>
          <w:tab w:val="clear" w:pos="708"/>
          <w:tab w:val="left" w:pos="709" w:leader="none"/>
        </w:tabs>
        <w:ind w:firstLine="709" w:left="0"/>
        <w:jc w:val="both"/>
        <w:rPr>
          <w:bCs/>
        </w:rPr>
      </w:pPr>
      <w:r>
        <w:rPr>
          <w:bCs/>
        </w:rPr>
        <w:t>журнал учета выполненных работ по форме КС-ба;</w:t>
      </w:r>
    </w:p>
    <w:p>
      <w:pPr>
        <w:pStyle w:val="ListParagraph"/>
        <w:numPr>
          <w:ilvl w:val="1"/>
          <w:numId w:val="20"/>
        </w:numPr>
        <w:tabs>
          <w:tab w:val="clear" w:pos="708"/>
          <w:tab w:val="left" w:pos="709" w:leader="none"/>
        </w:tabs>
        <w:ind w:firstLine="709" w:left="0"/>
        <w:jc w:val="both"/>
        <w:rPr>
          <w:bCs/>
        </w:rPr>
      </w:pPr>
      <w:r>
        <w:rPr>
          <w:bCs/>
        </w:rPr>
        <w:t>реестр Актов освидетельствования выполненных работ за отчетный период;</w:t>
      </w:r>
    </w:p>
    <w:p>
      <w:pPr>
        <w:pStyle w:val="ListParagraph"/>
        <w:numPr>
          <w:ilvl w:val="1"/>
          <w:numId w:val="20"/>
        </w:numPr>
        <w:tabs>
          <w:tab w:val="clear" w:pos="708"/>
          <w:tab w:val="left" w:pos="709" w:leader="none"/>
        </w:tabs>
        <w:ind w:firstLine="709" w:left="0"/>
        <w:jc w:val="both"/>
        <w:rPr>
          <w:bCs/>
        </w:rPr>
      </w:pPr>
      <w:r>
        <w:rPr>
          <w:bCs/>
        </w:rPr>
        <w:t>накопительная ведомость выполненных работ с начала проведения работ по отчетный период включительно.</w:t>
        <w:tab/>
      </w:r>
    </w:p>
    <w:p>
      <w:pPr>
        <w:pStyle w:val="Normal"/>
        <w:spacing w:lineRule="auto" w:line="240"/>
        <w:ind w:firstLine="709"/>
        <w:rPr>
          <w:bCs/>
          <w:sz w:val="24"/>
          <w:szCs w:val="24"/>
        </w:rPr>
      </w:pPr>
      <w:r>
        <w:rPr>
          <w:bCs/>
          <w:sz w:val="24"/>
          <w:szCs w:val="24"/>
        </w:rPr>
        <w:t>В случае, если Подрядчиком представлена исполнительная документация ненадлежащей формы, либо не в полном объеме, то считается, что такая документация Заказчику не передана. Отсутствие исполнительной документации является основанием для отказа приемки работ Заказчиком и подписания</w:t>
      </w:r>
      <w:r>
        <w:rPr/>
        <w:t xml:space="preserve"> </w:t>
      </w:r>
      <w:r>
        <w:rPr>
          <w:bCs/>
          <w:sz w:val="24"/>
          <w:szCs w:val="24"/>
        </w:rPr>
        <w:t>Акта освидетельствования выполненных работ.</w:t>
      </w:r>
      <w:r>
        <w:rPr>
          <w:bCs/>
        </w:rPr>
        <w:tab/>
      </w:r>
    </w:p>
    <w:p>
      <w:pPr>
        <w:pStyle w:val="ListParagraph"/>
        <w:numPr>
          <w:ilvl w:val="1"/>
          <w:numId w:val="3"/>
        </w:numPr>
        <w:tabs>
          <w:tab w:val="clear" w:pos="708"/>
          <w:tab w:val="left" w:pos="1134" w:leader="none"/>
        </w:tabs>
        <w:ind w:firstLine="709" w:left="0"/>
        <w:jc w:val="both"/>
        <w:rPr/>
      </w:pPr>
      <w:r>
        <w:rPr>
          <w:bCs/>
        </w:rPr>
        <w:t>По завершении выполнения полного объема работ по 2-му этапу, Подрядчик в течение 3 (трех) рабочих дней представляет Заказчику подписанные со своей стороны:</w:t>
      </w:r>
    </w:p>
    <w:p>
      <w:pPr>
        <w:pStyle w:val="ListParagraph"/>
        <w:numPr>
          <w:ilvl w:val="0"/>
          <w:numId w:val="16"/>
        </w:numPr>
        <w:tabs>
          <w:tab w:val="clear" w:pos="708"/>
          <w:tab w:val="left" w:pos="1418" w:leader="none"/>
        </w:tabs>
        <w:ind w:firstLine="709" w:left="0"/>
        <w:jc w:val="both"/>
        <w:rPr>
          <w:highlight w:val="white"/>
        </w:rPr>
      </w:pPr>
      <w:r>
        <w:rPr>
          <w:highlight w:val="white"/>
        </w:rPr>
        <w:t xml:space="preserve">Акт КС-2 по форме Приложения № 13, Справку КС-3 по форме Приложения № 14 в 2 (двух) экземплярах, счет-фактуру (оригинал счета-фактуры направляется Заказчику экспресс-почтой); </w:t>
      </w:r>
    </w:p>
    <w:p>
      <w:pPr>
        <w:pStyle w:val="ListParagraph"/>
        <w:tabs>
          <w:tab w:val="clear" w:pos="708"/>
          <w:tab w:val="left" w:pos="1134" w:leader="none"/>
        </w:tabs>
        <w:ind w:firstLine="709" w:left="0"/>
        <w:jc w:val="both"/>
        <w:rPr/>
      </w:pPr>
      <w:r>
        <w:rPr>
          <w:bCs/>
        </w:rPr>
        <w:t>По завершении выполнения Работ в отношении Объекта и готовности последнего к эксплуатации Подрядчик в течение 3 (трех) рабочих дней представляет Заказчику подписанные со своей стороны:</w:t>
      </w:r>
    </w:p>
    <w:p>
      <w:pPr>
        <w:pStyle w:val="ListParagraph"/>
        <w:numPr>
          <w:ilvl w:val="0"/>
          <w:numId w:val="16"/>
        </w:numPr>
        <w:tabs>
          <w:tab w:val="clear" w:pos="708"/>
          <w:tab w:val="left" w:pos="1134" w:leader="none"/>
        </w:tabs>
        <w:ind w:firstLine="709" w:left="0"/>
        <w:jc w:val="both"/>
        <w:rPr/>
      </w:pPr>
      <w:r>
        <w:rPr>
          <w:bCs/>
        </w:rPr>
        <w:t>А</w:t>
      </w:r>
      <w:r>
        <w:rPr/>
        <w:t>кт КС-11 по форме Приложения №15 в 2 (двух) экземплярах.</w:t>
      </w:r>
    </w:p>
    <w:p>
      <w:pPr>
        <w:pStyle w:val="ListParagraph"/>
        <w:numPr>
          <w:ilvl w:val="0"/>
          <w:numId w:val="16"/>
        </w:numPr>
        <w:shd w:val="clear" w:color="auto" w:fill="FFFFFF"/>
        <w:tabs>
          <w:tab w:val="clear" w:pos="708"/>
          <w:tab w:val="left" w:pos="1134" w:leader="none"/>
        </w:tabs>
        <w:ind w:hanging="709" w:left="1418"/>
        <w:jc w:val="both"/>
        <w:rPr/>
      </w:pPr>
      <w:bookmarkStart w:id="24" w:name="_Ref361336865"/>
      <w:r>
        <w:rPr/>
        <w:t>Технический план сооружения</w:t>
      </w:r>
      <w:bookmarkEnd w:id="24"/>
    </w:p>
    <w:p>
      <w:pPr>
        <w:pStyle w:val="ListParagraph"/>
        <w:numPr>
          <w:ilvl w:val="1"/>
          <w:numId w:val="3"/>
        </w:numPr>
        <w:tabs>
          <w:tab w:val="clear" w:pos="708"/>
          <w:tab w:val="left" w:pos="568" w:leader="none"/>
          <w:tab w:val="left" w:pos="1134" w:leader="none"/>
        </w:tabs>
        <w:ind w:firstLine="709" w:left="0"/>
        <w:jc w:val="both"/>
        <w:rPr>
          <w:bCs/>
        </w:rPr>
      </w:pPr>
      <w:r>
        <w:rPr>
          <w:bCs/>
        </w:rPr>
        <w:t xml:space="preserve">В течение 5 (пяти) рабочих дней с даты получения полного комплекта документов, указанных в пунктах 4.2-4.3 Договора, Заказчик подписывает и передает Подрядчику 1 (один) экземпляр каждого указанного акта. В случае наличия замечаний извещает Подрядчика и отражает замечания в Реестрах (Приложения №19.1, 19.2 к Договору) с указанием сроков их устранения и письменно извещает Подрядчика о необходимости устранения замечаний. </w:t>
      </w:r>
    </w:p>
    <w:p>
      <w:pPr>
        <w:pStyle w:val="ListParagraph"/>
        <w:numPr>
          <w:ilvl w:val="1"/>
          <w:numId w:val="3"/>
        </w:numPr>
        <w:tabs>
          <w:tab w:val="clear" w:pos="708"/>
          <w:tab w:val="left" w:pos="568" w:leader="none"/>
          <w:tab w:val="left" w:pos="1134" w:leader="none"/>
        </w:tabs>
        <w:ind w:firstLine="709" w:left="0"/>
        <w:jc w:val="both"/>
        <w:rPr>
          <w:bCs/>
        </w:rPr>
      </w:pPr>
      <w:r>
        <w:rPr>
          <w:bCs/>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Реестрах (Приложения №19.1, 19.2 к Договору). Указание Заказчиком срока новой приемки не влечет переноса установленного Договором срока выполнения Работ и не исключает ответственности Подрядчика за его нарушение. </w:t>
      </w:r>
    </w:p>
    <w:p>
      <w:pPr>
        <w:pStyle w:val="ListParagraph"/>
        <w:numPr>
          <w:ilvl w:val="1"/>
          <w:numId w:val="3"/>
        </w:numPr>
        <w:tabs>
          <w:tab w:val="clear" w:pos="708"/>
          <w:tab w:val="left" w:pos="1134" w:leader="none"/>
        </w:tabs>
        <w:ind w:firstLine="709" w:left="0"/>
        <w:jc w:val="both"/>
        <w:rPr>
          <w:bCs/>
          <w:highlight w:val="white"/>
        </w:rPr>
      </w:pPr>
      <w:r>
        <w:rPr>
          <w:bCs/>
        </w:rPr>
        <w:t xml:space="preserve">Повторная приемка Заказчиком выполненных Работ после устранения недостатков, указанных в </w:t>
      </w:r>
      <w:r>
        <w:rPr>
          <w:bCs/>
          <w:highlight w:val="white"/>
        </w:rPr>
        <w:t>Реестрах (Приложения №19.1, 19.2 к Договору), осуществляется в порядке, предусмотренном пунктами 4.1-4.4 Договора.</w:t>
      </w:r>
    </w:p>
    <w:p>
      <w:pPr>
        <w:pStyle w:val="ListParagraph"/>
        <w:numPr>
          <w:ilvl w:val="1"/>
          <w:numId w:val="3"/>
        </w:numPr>
        <w:tabs>
          <w:tab w:val="clear" w:pos="708"/>
          <w:tab w:val="left" w:pos="1134" w:leader="none"/>
        </w:tabs>
        <w:ind w:firstLine="709" w:left="0"/>
        <w:jc w:val="both"/>
        <w:rPr>
          <w:bCs/>
        </w:rPr>
      </w:pPr>
      <w:r>
        <w:rPr>
          <w:bCs/>
        </w:rPr>
        <w:t>Если Подрядчик не устранит недостатки, несоответствия и / или дефекты Работ в срок, установленный Заказчиком в соответствии с пунктом 4.4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Стоимость расходов Заказчика на устранение выявленных недостатков, несоответствий и / или дефектов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pPr>
        <w:pStyle w:val="ListParagraph"/>
        <w:widowControl w:val="false"/>
        <w:numPr>
          <w:ilvl w:val="1"/>
          <w:numId w:val="3"/>
        </w:numPr>
        <w:tabs>
          <w:tab w:val="clear" w:pos="708"/>
          <w:tab w:val="left" w:pos="709" w:leader="none"/>
          <w:tab w:val="left" w:pos="1134" w:leader="none"/>
        </w:tabs>
        <w:ind w:firstLine="709" w:left="0"/>
        <w:jc w:val="both"/>
        <w:rPr>
          <w:bCs/>
        </w:rPr>
      </w:pPr>
      <w:r>
        <w:rPr>
          <w:bCs/>
        </w:rPr>
        <w:t>Заказчик, обнаруживший после приемки Работ отступления от условий настоящего Договора или иные недостатки, которые не могли быть установлены при обычном способе приемки (скрытые недостатки), в том числе такие, которые были умышленно скрыты Подрядчиком, обязан известить об этом Подрядчика в течение 5 (пяти) рабочих дней со дня их обнаружения. Подрядчик обязуется устранить недостатки в сроки, согласованные Сторонами.</w:t>
      </w:r>
    </w:p>
    <w:p>
      <w:pPr>
        <w:pStyle w:val="ListParagraph"/>
        <w:widowControl w:val="false"/>
        <w:numPr>
          <w:ilvl w:val="1"/>
          <w:numId w:val="3"/>
        </w:numPr>
        <w:tabs>
          <w:tab w:val="clear" w:pos="708"/>
          <w:tab w:val="left" w:pos="709" w:leader="none"/>
          <w:tab w:val="left" w:pos="1134" w:leader="none"/>
        </w:tabs>
        <w:ind w:firstLine="709" w:left="0"/>
        <w:jc w:val="both"/>
        <w:rPr>
          <w:bCs/>
        </w:rPr>
      </w:pPr>
      <w:r>
        <w:rPr>
          <w:bCs/>
        </w:rPr>
        <w:t>При возникновении между Заказчиком и Подрядчиком спора по поводу недостатков выполненной работы или их причин, по требованию любой из стороны должна быть назначена экспертиза. Экспертная организация определяется соглашением сторон и должна обладать лицензией на право проведения экспертизы и предоставления экспертных заключений. При недостижении соглашения, экспертная организация выбирается стороной, инициирующей проведение экспертизы. Расходы по проведению экспертизы несет Сторона, потребовавшая назначения экспертизы, а если она назначена по соглашению между Сторонами – обе Стороны поровну. В случае, если заключением экспертизы будет подтверждено наличие недостатков работы, расходы по проведению экспертизы, понесенные Заказчиком, подлежат возмещению Подрядчиком в 20-ти (двадцати) дневный срок с даты предъявления Заказчиком соответствующего требования.</w:t>
      </w:r>
    </w:p>
    <w:p>
      <w:pPr>
        <w:pStyle w:val="ListParagraph"/>
        <w:widowControl w:val="false"/>
        <w:numPr>
          <w:ilvl w:val="1"/>
          <w:numId w:val="3"/>
        </w:numPr>
        <w:tabs>
          <w:tab w:val="clear" w:pos="708"/>
          <w:tab w:val="left" w:pos="709" w:leader="none"/>
          <w:tab w:val="left" w:pos="1134" w:leader="none"/>
        </w:tabs>
        <w:ind w:firstLine="709" w:left="0"/>
        <w:jc w:val="both"/>
        <w:rPr>
          <w:bCs/>
        </w:rPr>
      </w:pPr>
      <w:r>
        <w:rPr>
          <w:bCs/>
        </w:rPr>
        <w:t>Скрытые работы принимаются с составлением соответствующих двухсторонних  Актов. Подрядчик заблаговременно в письменном виде уведомляет Заказчика о необходимости проведения промежуточной приемки выполненных работ, ответственных конструкций и систем и т.п., но не менее чем за 3 (три) рабочих дня до начала  проведения этой приемки.</w:t>
      </w:r>
    </w:p>
    <w:p>
      <w:pPr>
        <w:pStyle w:val="ListParagraph"/>
        <w:widowControl w:val="false"/>
        <w:numPr>
          <w:ilvl w:val="1"/>
          <w:numId w:val="3"/>
        </w:numPr>
        <w:tabs>
          <w:tab w:val="clear" w:pos="708"/>
          <w:tab w:val="left" w:pos="709" w:leader="none"/>
          <w:tab w:val="left" w:pos="1134" w:leader="none"/>
        </w:tabs>
        <w:ind w:firstLine="709" w:left="0"/>
        <w:jc w:val="both"/>
        <w:rPr/>
      </w:pPr>
      <w:r>
        <w:rPr>
          <w:bCs/>
        </w:rPr>
        <w:t xml:space="preserve"> </w:t>
      </w:r>
      <w:r>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pPr>
        <w:pStyle w:val="ListParagraph"/>
        <w:numPr>
          <w:ilvl w:val="1"/>
          <w:numId w:val="3"/>
        </w:numPr>
        <w:ind w:firstLine="709" w:left="0"/>
        <w:jc w:val="both"/>
        <w:rPr>
          <w:bCs/>
        </w:rPr>
      </w:pPr>
      <w:r>
        <w:rPr>
          <w:bCs/>
        </w:rPr>
        <w:t>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p>
    <w:p>
      <w:pPr>
        <w:pStyle w:val="ListParagraph"/>
        <w:tabs>
          <w:tab w:val="clear" w:pos="708"/>
          <w:tab w:val="left" w:pos="1134" w:leader="none"/>
        </w:tabs>
        <w:ind w:hanging="0" w:left="567"/>
        <w:jc w:val="both"/>
        <w:rPr>
          <w:bCs/>
        </w:rPr>
      </w:pPr>
      <w:r>
        <w:rPr>
          <w:bCs/>
        </w:rPr>
      </w:r>
    </w:p>
    <w:p>
      <w:pPr>
        <w:pStyle w:val="ListParagraph"/>
        <w:numPr>
          <w:ilvl w:val="0"/>
          <w:numId w:val="3"/>
        </w:numPr>
        <w:tabs>
          <w:tab w:val="clear" w:pos="708"/>
          <w:tab w:val="left" w:pos="284" w:leader="none"/>
        </w:tabs>
        <w:ind w:hanging="0" w:left="0"/>
        <w:jc w:val="center"/>
        <w:rPr>
          <w:b/>
          <w:bCs/>
        </w:rPr>
      </w:pPr>
      <w:r>
        <w:rPr>
          <w:b/>
          <w:bCs/>
        </w:rPr>
        <w:t>Право собственности и переход рисков</w:t>
      </w:r>
    </w:p>
    <w:p>
      <w:pPr>
        <w:pStyle w:val="Normal"/>
        <w:tabs>
          <w:tab w:val="clear" w:pos="708"/>
          <w:tab w:val="left" w:pos="710" w:leader="none"/>
        </w:tabs>
        <w:spacing w:lineRule="auto" w:line="240"/>
        <w:ind w:hanging="0" w:left="710"/>
        <w:jc w:val="both"/>
        <w:rPr>
          <w:sz w:val="24"/>
          <w:szCs w:val="24"/>
        </w:rPr>
      </w:pPr>
      <w:r>
        <w:rPr>
          <w:sz w:val="24"/>
          <w:szCs w:val="24"/>
        </w:rPr>
        <w:t xml:space="preserve">5.1. </w:t>
      </w:r>
      <w:bookmarkStart w:id="25" w:name="_Ref361405028"/>
      <w:r>
        <w:rPr>
          <w:bCs/>
          <w:sz w:val="24"/>
          <w:szCs w:val="24"/>
        </w:rPr>
        <w:t>Право собственности, риск случайной гибели или повреждения Результата работ в</w:t>
      </w:r>
    </w:p>
    <w:p>
      <w:pPr>
        <w:pStyle w:val="Normal"/>
        <w:tabs>
          <w:tab w:val="clear" w:pos="708"/>
          <w:tab w:val="left" w:pos="710" w:leader="none"/>
        </w:tabs>
        <w:spacing w:lineRule="auto" w:line="240"/>
        <w:ind w:hanging="0" w:left="0"/>
        <w:jc w:val="both"/>
        <w:rPr/>
      </w:pPr>
      <w:r>
        <w:rPr>
          <w:bCs/>
          <w:sz w:val="24"/>
          <w:szCs w:val="24"/>
        </w:rPr>
        <w:t xml:space="preserve">отношении Объекта, включая Материально-технические ресурсы, переходит к Заказчику с момента подписания Акта </w:t>
      </w:r>
      <w:r>
        <w:rPr>
          <w:sz w:val="24"/>
          <w:szCs w:val="24"/>
        </w:rPr>
        <w:t>КС-11.</w:t>
      </w:r>
      <w:r>
        <w:rPr>
          <w:bCs/>
          <w:sz w:val="24"/>
          <w:szCs w:val="24"/>
        </w:rPr>
        <w:t xml:space="preserve"> До подписания Сторонами указанного Акта риск случайной гибели или повреждения Результата работ по Объекту и Материально-технических ресурсов, несет Подрядч</w:t>
      </w:r>
      <w:r>
        <w:rPr>
          <w:bCs/>
        </w:rPr>
        <w:t>ик.</w:t>
      </w:r>
      <w:bookmarkEnd w:id="25"/>
    </w:p>
    <w:p>
      <w:pPr>
        <w:pStyle w:val="ListParagraph"/>
        <w:numPr>
          <w:ilvl w:val="1"/>
          <w:numId w:val="3"/>
        </w:numPr>
        <w:tabs>
          <w:tab w:val="clear" w:pos="708"/>
          <w:tab w:val="left" w:pos="710" w:leader="none"/>
        </w:tabs>
        <w:ind w:firstLine="710" w:left="0"/>
        <w:jc w:val="both"/>
        <w:rPr>
          <w:bCs/>
        </w:rPr>
      </w:pPr>
      <w:r>
        <w:rPr>
          <w:bCs/>
        </w:rPr>
        <w:t xml:space="preserve">Право собственности на вновь создаваемое недвижимое имущество, подлежащее государственной регистрации, возникает у Заказчика с момента такой регистрации. </w:t>
      </w:r>
    </w:p>
    <w:p>
      <w:pPr>
        <w:pStyle w:val="ListParagraph"/>
        <w:numPr>
          <w:ilvl w:val="1"/>
          <w:numId w:val="3"/>
        </w:numPr>
        <w:tabs>
          <w:tab w:val="clear" w:pos="708"/>
          <w:tab w:val="left" w:pos="710" w:leader="none"/>
        </w:tabs>
        <w:ind w:firstLine="710" w:left="0"/>
        <w:jc w:val="both"/>
        <w:rPr>
          <w:bCs/>
        </w:rPr>
      </w:pPr>
      <w:r>
        <w:rPr>
          <w:bCs/>
        </w:rPr>
        <w:t>Подписание</w:t>
      </w:r>
      <w:r>
        <w:rPr>
          <w:iCs/>
        </w:rPr>
        <w:t xml:space="preserve"> Заказчиком </w:t>
      </w:r>
      <w:r>
        <w:rPr>
          <w:bCs/>
        </w:rPr>
        <w:t xml:space="preserve">Акта </w:t>
      </w:r>
      <w:r>
        <w:rPr/>
        <w:t xml:space="preserve">КС-11 </w:t>
      </w:r>
      <w:r>
        <w:rPr>
          <w:iCs/>
        </w:rPr>
        <w:t>означает приемку выполненных Работ по Объекту и 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 не освобождает Подрядчика от ответственности за Результат работ по Договору в целом.</w:t>
      </w:r>
    </w:p>
    <w:p>
      <w:pPr>
        <w:pStyle w:val="ListParagraph"/>
        <w:numPr>
          <w:ilvl w:val="0"/>
          <w:numId w:val="0"/>
        </w:numPr>
        <w:tabs>
          <w:tab w:val="clear" w:pos="708"/>
          <w:tab w:val="left" w:pos="710" w:leader="none"/>
        </w:tabs>
        <w:ind w:hanging="0" w:left="0"/>
        <w:jc w:val="both"/>
        <w:rPr>
          <w:bCs/>
        </w:rPr>
      </w:pPr>
      <w:r>
        <w:rPr>
          <w:bCs/>
        </w:rPr>
      </w:r>
    </w:p>
    <w:p>
      <w:pPr>
        <w:pStyle w:val="ListParagraph"/>
        <w:numPr>
          <w:ilvl w:val="0"/>
          <w:numId w:val="3"/>
        </w:numPr>
        <w:tabs>
          <w:tab w:val="clear" w:pos="708"/>
          <w:tab w:val="left" w:pos="284" w:leader="none"/>
        </w:tabs>
        <w:ind w:hanging="283" w:left="709"/>
        <w:jc w:val="center"/>
        <w:rPr>
          <w:b/>
          <w:bCs/>
        </w:rPr>
      </w:pPr>
      <w:r>
        <w:rPr>
          <w:b/>
          <w:bCs/>
        </w:rPr>
        <w:t>Независимая гарантия</w:t>
      </w:r>
    </w:p>
    <w:p>
      <w:pPr>
        <w:pStyle w:val="Normal"/>
        <w:spacing w:lineRule="auto" w:line="240"/>
        <w:ind w:firstLine="709"/>
        <w:rPr>
          <w:bCs/>
          <w:sz w:val="24"/>
          <w:szCs w:val="24"/>
        </w:rPr>
      </w:pPr>
      <w:r>
        <w:rPr>
          <w:bCs/>
          <w:sz w:val="24"/>
          <w:szCs w:val="24"/>
        </w:rPr>
        <w:t>6.1 Условия независимой гарантии, предоставляемой в качестве обеспечения исполнения договора, заключаемого с СМП при осуществлении закупки товаров, работ, услуг в электронной форме с участием СМП (далее – Независимая гарантия):</w:t>
      </w:r>
    </w:p>
    <w:p>
      <w:pPr>
        <w:pStyle w:val="Normal"/>
        <w:numPr>
          <w:ilvl w:val="0"/>
          <w:numId w:val="22"/>
        </w:numPr>
        <w:spacing w:lineRule="auto" w:line="240"/>
        <w:ind w:firstLine="709" w:left="0"/>
        <w:rPr>
          <w:bCs/>
          <w:sz w:val="24"/>
          <w:szCs w:val="24"/>
        </w:rPr>
      </w:pPr>
      <w:r>
        <w:rPr>
          <w:bCs/>
          <w:sz w:val="24"/>
          <w:szCs w:val="24"/>
        </w:rPr>
        <w:t>Независимая гарантия не может быть отозвана выдавшим ее Подрядчиком;</w:t>
      </w:r>
    </w:p>
    <w:p>
      <w:pPr>
        <w:pStyle w:val="Normal"/>
        <w:numPr>
          <w:ilvl w:val="0"/>
          <w:numId w:val="22"/>
        </w:numPr>
        <w:spacing w:lineRule="auto" w:line="240"/>
        <w:ind w:firstLine="709" w:left="0"/>
        <w:rPr>
          <w:bCs/>
          <w:sz w:val="24"/>
          <w:szCs w:val="24"/>
        </w:rPr>
      </w:pPr>
      <w:r>
        <w:rPr>
          <w:bCs/>
          <w:sz w:val="24"/>
          <w:szCs w:val="24"/>
        </w:rPr>
        <w:t>бенефициар по Независимой гарантии -– Заказчик, принципал – Подрядчик;</w:t>
      </w:r>
    </w:p>
    <w:p>
      <w:pPr>
        <w:pStyle w:val="Normal"/>
        <w:numPr>
          <w:ilvl w:val="0"/>
          <w:numId w:val="22"/>
        </w:numPr>
        <w:spacing w:lineRule="auto" w:line="240"/>
        <w:ind w:firstLine="709" w:left="0"/>
        <w:rPr>
          <w:bCs/>
          <w:sz w:val="24"/>
          <w:szCs w:val="24"/>
        </w:rPr>
      </w:pPr>
      <w:r>
        <w:rPr>
          <w:bCs/>
          <w:sz w:val="24"/>
          <w:szCs w:val="24"/>
        </w:rPr>
        <w:t>сумма Независимой гарантии выражена в валюте расчетов по Договору;</w:t>
      </w:r>
    </w:p>
    <w:p>
      <w:pPr>
        <w:pStyle w:val="Normal"/>
        <w:numPr>
          <w:ilvl w:val="0"/>
          <w:numId w:val="22"/>
        </w:numPr>
        <w:spacing w:lineRule="auto" w:line="240"/>
        <w:ind w:firstLine="709" w:left="0"/>
        <w:rPr>
          <w:bCs/>
          <w:sz w:val="24"/>
          <w:szCs w:val="24"/>
        </w:rPr>
      </w:pPr>
      <w:r>
        <w:rPr>
          <w:bCs/>
          <w:sz w:val="24"/>
          <w:szCs w:val="24"/>
        </w:rPr>
        <w:t>сумма Независимой гарантии надлежащего исполнения обязательств по Договору должна составлять: 5 (пять) процентов от цены Договора (в случае письменного отказа от выплаты аванса) или в размере аванса;</w:t>
      </w:r>
    </w:p>
    <w:p>
      <w:pPr>
        <w:pStyle w:val="Normal"/>
        <w:numPr>
          <w:ilvl w:val="0"/>
          <w:numId w:val="22"/>
        </w:numPr>
        <w:spacing w:lineRule="auto" w:line="240"/>
        <w:ind w:firstLine="709" w:left="0"/>
        <w:rPr>
          <w:bCs/>
          <w:sz w:val="24"/>
          <w:szCs w:val="24"/>
        </w:rPr>
      </w:pPr>
      <w:r>
        <w:rPr>
          <w:bCs/>
          <w:sz w:val="24"/>
          <w:szCs w:val="24"/>
        </w:rPr>
        <w:t xml:space="preserve">срок окончания Независимой гарантии надлежащего исполнения обязательств по Договору – не ранее 70 (семидесяти) календарных дней после наступления даты, в которую заканчивается срок исполнения обязательств по Договору в целом / соответствующему объекту, предусмотренной Договором, </w:t>
      </w:r>
    </w:p>
    <w:p>
      <w:pPr>
        <w:pStyle w:val="Normal"/>
        <w:spacing w:lineRule="auto" w:line="240"/>
        <w:ind w:firstLine="709"/>
        <w:rPr>
          <w:bCs/>
          <w:sz w:val="24"/>
          <w:szCs w:val="24"/>
        </w:rPr>
      </w:pPr>
      <w:r>
        <w:rPr>
          <w:bCs/>
          <w:sz w:val="24"/>
          <w:szCs w:val="24"/>
        </w:rPr>
        <w:t>6.2 Независимая гарантия должна быть составлена по типовой форме согласно Приложению 3 полож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утвержденному Постановлением Правительства Российской Федерации от 09.08.2022 № 1397 (далее – Положение), на условиях, определенных гражданским законодательством, Федеральным законом от 18.07.2011 № 223-ФЗ «О закупках товаров, работ, услуг отдельными видами юридических лиц» и настоящими условиями, содержать следующие требования:</w:t>
      </w:r>
    </w:p>
    <w:p>
      <w:pPr>
        <w:pStyle w:val="Normal"/>
        <w:spacing w:lineRule="auto" w:line="240"/>
        <w:ind w:firstLine="709"/>
        <w:rPr>
          <w:bCs/>
          <w:sz w:val="24"/>
          <w:szCs w:val="24"/>
        </w:rPr>
      </w:pPr>
      <w:r>
        <w:rPr>
          <w:bCs/>
          <w:sz w:val="24"/>
          <w:szCs w:val="24"/>
        </w:rPr>
        <w:t>а) условие о праве Заказчика предъявлять до окончания срока действия Независимой гарантии в случае неисполнения или ненадлежащего исполнения Подрядчиком, обеспеченных ею обязательств составленное по форме согласно Прилож</w:t>
      </w:r>
      <w:r>
        <w:rPr>
          <w:bCs/>
          <w:sz w:val="24"/>
          <w:szCs w:val="24"/>
          <w:highlight w:val="white"/>
        </w:rPr>
        <w:t xml:space="preserve">ению 18 </w:t>
      </w:r>
      <w:r>
        <w:rPr>
          <w:bCs/>
          <w:sz w:val="24"/>
          <w:szCs w:val="24"/>
        </w:rPr>
        <w:t>требование об уплате денежной суммы по Независимой гарантии в размере цены Договора, уменьшенной на сумму, пропорциональную объему исполненных Подрядчиком обязательств, которые предусмотрены Договором и в отношении которых Заказчик осуществлена приемка, но не превышающей размер обеспечения исполнения Договора (сумму Независимой гарантии);</w:t>
      </w:r>
    </w:p>
    <w:p>
      <w:pPr>
        <w:pStyle w:val="Normal"/>
        <w:spacing w:lineRule="auto" w:line="240"/>
        <w:ind w:firstLine="709"/>
        <w:rPr>
          <w:bCs/>
          <w:sz w:val="24"/>
          <w:szCs w:val="24"/>
        </w:rPr>
      </w:pPr>
      <w:r>
        <w:rPr>
          <w:bCs/>
          <w:sz w:val="24"/>
          <w:szCs w:val="24"/>
        </w:rPr>
        <w:t xml:space="preserve">б) условие о праве Заказчика направлять требование об уплате денежной суммы по Независимой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Заказчика. </w:t>
      </w:r>
    </w:p>
    <w:p>
      <w:pPr>
        <w:pStyle w:val="Normal"/>
        <w:spacing w:lineRule="auto" w:line="240"/>
        <w:ind w:firstLine="709"/>
        <w:rPr>
          <w:bCs/>
          <w:sz w:val="24"/>
          <w:szCs w:val="24"/>
        </w:rPr>
      </w:pPr>
      <w:r>
        <w:rPr>
          <w:bCs/>
          <w:sz w:val="24"/>
          <w:szCs w:val="24"/>
        </w:rPr>
        <w:t xml:space="preserve">Выбор формы направления такого требования осуществляется Заказчиком самостоятельно. </w:t>
      </w:r>
    </w:p>
    <w:p>
      <w:pPr>
        <w:pStyle w:val="Normal"/>
        <w:spacing w:lineRule="auto" w:line="240"/>
        <w:ind w:firstLine="709"/>
        <w:rPr>
          <w:bCs/>
          <w:sz w:val="24"/>
          <w:szCs w:val="24"/>
        </w:rPr>
      </w:pPr>
      <w:r>
        <w:rPr>
          <w:bCs/>
          <w:sz w:val="24"/>
          <w:szCs w:val="24"/>
        </w:rPr>
        <w:t>6.3 В случае направления требования об уплате денежной суммы по Независимой гарантии на бумажном носителе представляются оригиналы или заверенные Заказчиком копии следующих документов (далее – Документы к требованию):</w:t>
      </w:r>
    </w:p>
    <w:p>
      <w:pPr>
        <w:pStyle w:val="Normal"/>
        <w:numPr>
          <w:ilvl w:val="0"/>
          <w:numId w:val="22"/>
        </w:numPr>
        <w:spacing w:lineRule="auto" w:line="240"/>
        <w:ind w:firstLine="709" w:left="0"/>
        <w:rPr>
          <w:bCs/>
          <w:sz w:val="24"/>
          <w:szCs w:val="24"/>
        </w:rPr>
      </w:pPr>
      <w:r>
        <w:rPr>
          <w:bCs/>
          <w:sz w:val="24"/>
          <w:szCs w:val="24"/>
        </w:rPr>
        <w:t>расчет суммы, включаемой в требование об уплате денежной суммы по Независимой гарантии;</w:t>
      </w:r>
    </w:p>
    <w:p>
      <w:pPr>
        <w:pStyle w:val="Normal"/>
        <w:numPr>
          <w:ilvl w:val="0"/>
          <w:numId w:val="22"/>
        </w:numPr>
        <w:spacing w:lineRule="auto" w:line="240"/>
        <w:ind w:firstLine="709" w:left="0"/>
        <w:rPr>
          <w:bCs/>
          <w:sz w:val="24"/>
          <w:szCs w:val="24"/>
        </w:rPr>
      </w:pPr>
      <w:r>
        <w:rPr>
          <w:bCs/>
          <w:sz w:val="24"/>
          <w:szCs w:val="24"/>
        </w:rPr>
        <w:t>документ, содержащий указание на нарушения Подрядчиком обязательств, предусмотренных Договором;</w:t>
      </w:r>
    </w:p>
    <w:p>
      <w:pPr>
        <w:pStyle w:val="Normal"/>
        <w:numPr>
          <w:ilvl w:val="0"/>
          <w:numId w:val="22"/>
        </w:numPr>
        <w:spacing w:lineRule="auto" w:line="240"/>
        <w:ind w:firstLine="709" w:left="0"/>
        <w:rPr>
          <w:bCs/>
          <w:sz w:val="24"/>
          <w:szCs w:val="24"/>
        </w:rPr>
      </w:pPr>
      <w:r>
        <w:rPr>
          <w:bCs/>
          <w:sz w:val="24"/>
          <w:szCs w:val="24"/>
        </w:rPr>
        <w:t>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pPr>
        <w:pStyle w:val="Normal"/>
        <w:spacing w:lineRule="auto" w:line="240"/>
        <w:ind w:firstLine="709"/>
        <w:rPr>
          <w:bCs/>
          <w:sz w:val="24"/>
          <w:szCs w:val="24"/>
        </w:rPr>
      </w:pPr>
      <w:r>
        <w:rPr>
          <w:bCs/>
          <w:sz w:val="24"/>
          <w:szCs w:val="24"/>
        </w:rPr>
        <w:t xml:space="preserve">6.4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Заказчика, также представляется документ, подтверждающий полномочия такого лица на осуществление действий от имени Заказчика. </w:t>
      </w:r>
    </w:p>
    <w:p>
      <w:pPr>
        <w:pStyle w:val="Normal"/>
        <w:spacing w:lineRule="auto" w:line="240"/>
        <w:ind w:firstLine="709"/>
        <w:rPr>
          <w:bCs/>
          <w:sz w:val="24"/>
          <w:szCs w:val="24"/>
        </w:rPr>
      </w:pPr>
      <w:r>
        <w:rPr>
          <w:bCs/>
          <w:sz w:val="24"/>
          <w:szCs w:val="24"/>
        </w:rPr>
        <w:t>6.5 В случае направления требования об уплате денежной суммы по Независимой гарантии в форме электронного документа Документы к требованию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Заказчика.</w:t>
      </w:r>
    </w:p>
    <w:p>
      <w:pPr>
        <w:pStyle w:val="Normal"/>
        <w:spacing w:lineRule="auto" w:line="240"/>
        <w:ind w:firstLine="709"/>
        <w:rPr>
          <w:bCs/>
          <w:sz w:val="24"/>
          <w:szCs w:val="24"/>
        </w:rPr>
      </w:pPr>
      <w:r>
        <w:rPr>
          <w:bCs/>
          <w:sz w:val="24"/>
          <w:szCs w:val="24"/>
        </w:rPr>
        <w:t>6.6 Требование об уплате денежной суммы по Независимой гарантии надлежащего исполнения обязательств по Договору может содержать указание на существо допущенных Подрядчиком нарушений, в том числе в случаях:</w:t>
      </w:r>
    </w:p>
    <w:p>
      <w:pPr>
        <w:pStyle w:val="Normal"/>
        <w:numPr>
          <w:ilvl w:val="0"/>
          <w:numId w:val="22"/>
        </w:numPr>
        <w:spacing w:lineRule="auto" w:line="240"/>
        <w:ind w:firstLine="709" w:left="0"/>
        <w:rPr>
          <w:bCs/>
          <w:sz w:val="24"/>
          <w:szCs w:val="24"/>
        </w:rPr>
      </w:pPr>
      <w:r>
        <w:rPr>
          <w:bCs/>
          <w:sz w:val="24"/>
          <w:szCs w:val="24"/>
        </w:rPr>
        <w:t>отказа Подрядчика от исполнения обязательств по Договору, в том числе одностороннего отказа от Договора;</w:t>
      </w:r>
    </w:p>
    <w:p>
      <w:pPr>
        <w:pStyle w:val="Normal"/>
        <w:numPr>
          <w:ilvl w:val="0"/>
          <w:numId w:val="22"/>
        </w:numPr>
        <w:spacing w:lineRule="auto" w:line="240"/>
        <w:ind w:firstLine="709" w:left="0"/>
        <w:rPr>
          <w:bCs/>
          <w:sz w:val="24"/>
          <w:szCs w:val="24"/>
        </w:rPr>
      </w:pPr>
      <w:r>
        <w:rPr>
          <w:bCs/>
          <w:sz w:val="24"/>
          <w:szCs w:val="24"/>
        </w:rPr>
        <w:t>отказа Подрядчика от возврата неотработанного аванса при досрочном прекращении Договора / признании Договора недействительным;</w:t>
      </w:r>
    </w:p>
    <w:p>
      <w:pPr>
        <w:pStyle w:val="Normal"/>
        <w:numPr>
          <w:ilvl w:val="0"/>
          <w:numId w:val="22"/>
        </w:numPr>
        <w:spacing w:lineRule="auto" w:line="240"/>
        <w:ind w:firstLine="709" w:left="0"/>
        <w:rPr>
          <w:bCs/>
          <w:sz w:val="24"/>
          <w:szCs w:val="24"/>
        </w:rPr>
      </w:pPr>
      <w:r>
        <w:rPr>
          <w:bCs/>
          <w:sz w:val="24"/>
          <w:szCs w:val="24"/>
        </w:rPr>
        <w:t>нарушения Подрядчиком сроков поставки (выполнения работ, оказания услуг), установленных Календарным графиком, более чем на 60 (шестьдесят) календарных дней;</w:t>
      </w:r>
    </w:p>
    <w:p>
      <w:pPr>
        <w:pStyle w:val="Normal"/>
        <w:numPr>
          <w:ilvl w:val="0"/>
          <w:numId w:val="22"/>
        </w:numPr>
        <w:spacing w:lineRule="auto" w:line="240"/>
        <w:ind w:firstLine="709" w:left="0"/>
        <w:rPr>
          <w:bCs/>
          <w:sz w:val="24"/>
          <w:szCs w:val="24"/>
        </w:rPr>
      </w:pPr>
      <w:r>
        <w:rPr>
          <w:bCs/>
          <w:sz w:val="24"/>
          <w:szCs w:val="24"/>
        </w:rPr>
        <w:t>утраты Подрядчиком специальных разрешений (в том числе отзыв, прекращение (приостановление) действие допусков, разрешений) и / или лицензий, предоставляющих Подрядчику возможность надлежащего исполнения обязательств по Договору;</w:t>
      </w:r>
    </w:p>
    <w:p>
      <w:pPr>
        <w:pStyle w:val="Normal"/>
        <w:numPr>
          <w:ilvl w:val="0"/>
          <w:numId w:val="22"/>
        </w:numPr>
        <w:spacing w:lineRule="auto" w:line="240"/>
        <w:ind w:firstLine="709" w:left="0"/>
        <w:rPr>
          <w:bCs/>
          <w:sz w:val="24"/>
          <w:szCs w:val="24"/>
        </w:rPr>
      </w:pPr>
      <w:r>
        <w:rPr>
          <w:bCs/>
          <w:sz w:val="24"/>
          <w:szCs w:val="24"/>
          <w:highlight w:val="white"/>
        </w:rPr>
        <w:t xml:space="preserve">прекращения членства в СРО, основанной на членстве лиц, осуществляющих строительство; </w:t>
      </w:r>
    </w:p>
    <w:p>
      <w:pPr>
        <w:pStyle w:val="Normal"/>
        <w:numPr>
          <w:ilvl w:val="0"/>
          <w:numId w:val="22"/>
        </w:numPr>
        <w:spacing w:lineRule="auto" w:line="240"/>
        <w:ind w:firstLine="709" w:left="0"/>
        <w:rPr>
          <w:bCs/>
          <w:sz w:val="24"/>
          <w:szCs w:val="24"/>
        </w:rPr>
      </w:pPr>
      <w:r>
        <w:rPr>
          <w:bCs/>
          <w:sz w:val="24"/>
          <w:szCs w:val="24"/>
        </w:rPr>
        <w:t>введения арбитражным судом процедуры несостоятельности (банкротства) в отношении Подрядчика;</w:t>
      </w:r>
    </w:p>
    <w:p>
      <w:pPr>
        <w:pStyle w:val="Normal"/>
        <w:numPr>
          <w:ilvl w:val="0"/>
          <w:numId w:val="22"/>
        </w:numPr>
        <w:spacing w:lineRule="auto" w:line="240"/>
        <w:ind w:firstLine="709" w:left="0"/>
        <w:rPr>
          <w:bCs/>
          <w:sz w:val="24"/>
          <w:szCs w:val="24"/>
        </w:rPr>
      </w:pPr>
      <w:r>
        <w:rPr>
          <w:bCs/>
          <w:sz w:val="24"/>
          <w:szCs w:val="24"/>
        </w:rPr>
        <w:t>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pPr>
        <w:pStyle w:val="Normal"/>
        <w:numPr>
          <w:ilvl w:val="0"/>
          <w:numId w:val="22"/>
        </w:numPr>
        <w:spacing w:lineRule="auto" w:line="240"/>
        <w:ind w:firstLine="709" w:left="0"/>
        <w:rPr>
          <w:bCs/>
          <w:sz w:val="24"/>
          <w:szCs w:val="24"/>
        </w:rPr>
      </w:pPr>
      <w:r>
        <w:rPr>
          <w:bCs/>
          <w:sz w:val="24"/>
          <w:szCs w:val="24"/>
        </w:rPr>
        <w:t>признания Договора недействительным по причинам отсутствия необходимых корпоративных одобрений у Подрядчика;</w:t>
      </w:r>
    </w:p>
    <w:p>
      <w:pPr>
        <w:pStyle w:val="Normal"/>
        <w:numPr>
          <w:ilvl w:val="0"/>
          <w:numId w:val="22"/>
        </w:numPr>
        <w:spacing w:lineRule="auto" w:line="240"/>
        <w:ind w:firstLine="709" w:left="0"/>
        <w:rPr>
          <w:bCs/>
          <w:sz w:val="24"/>
          <w:szCs w:val="24"/>
        </w:rPr>
      </w:pPr>
      <w:r>
        <w:rPr>
          <w:bCs/>
          <w:sz w:val="24"/>
          <w:szCs w:val="24"/>
        </w:rPr>
        <w:t>непредоставления Подрядчиком в срок не позднее 30 (тридцати) календарных дней до даты истечения срока действия Независимой гарантии новой Независимой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Независимой гарантии либо срок исполнения обязательств продлен.</w:t>
      </w:r>
    </w:p>
    <w:p>
      <w:pPr>
        <w:pStyle w:val="Normal"/>
        <w:spacing w:lineRule="auto" w:line="240"/>
        <w:ind w:firstLine="709"/>
        <w:rPr>
          <w:bCs/>
          <w:sz w:val="24"/>
          <w:szCs w:val="24"/>
        </w:rPr>
      </w:pPr>
      <w:r>
        <w:rPr>
          <w:bCs/>
          <w:sz w:val="24"/>
          <w:szCs w:val="24"/>
        </w:rPr>
        <w:t>6.7 Внесение изменений и дополнений в Договор в период срока действия Независимой гарантии не освобождает гаранта от обязательств перед Заказчиком по Независимой гарантии.</w:t>
      </w:r>
    </w:p>
    <w:p>
      <w:pPr>
        <w:pStyle w:val="Normal"/>
        <w:spacing w:lineRule="auto" w:line="240"/>
        <w:ind w:firstLine="709"/>
        <w:rPr>
          <w:bCs/>
          <w:sz w:val="24"/>
          <w:szCs w:val="24"/>
        </w:rPr>
      </w:pPr>
      <w:r>
        <w:rPr>
          <w:bCs/>
          <w:sz w:val="24"/>
          <w:szCs w:val="24"/>
        </w:rPr>
        <w:t>в) текст Независимой гарантии должен содержать перечень Документов к требованию.</w:t>
      </w:r>
    </w:p>
    <w:p>
      <w:pPr>
        <w:pStyle w:val="Normal"/>
        <w:spacing w:lineRule="auto" w:line="240"/>
        <w:ind w:firstLine="709"/>
        <w:rPr>
          <w:bCs/>
          <w:sz w:val="24"/>
          <w:szCs w:val="24"/>
        </w:rPr>
      </w:pPr>
      <w:r>
        <w:rPr>
          <w:bCs/>
          <w:sz w:val="24"/>
          <w:szCs w:val="24"/>
        </w:rPr>
        <w:t>г) условие об обязанности гаранта рассмотреть требование Заказчика об уплате денежной суммы по Независимой гарантии не позднее 5 рабочих дней со дня, следующего за днем получения такого требования и Документов к требованию.</w:t>
      </w:r>
    </w:p>
    <w:p>
      <w:pPr>
        <w:pStyle w:val="Normal"/>
        <w:spacing w:lineRule="auto" w:line="240"/>
        <w:ind w:firstLine="709"/>
        <w:rPr>
          <w:bCs/>
          <w:sz w:val="24"/>
          <w:szCs w:val="24"/>
        </w:rPr>
      </w:pPr>
      <w:r>
        <w:rPr>
          <w:bCs/>
          <w:sz w:val="24"/>
          <w:szCs w:val="24"/>
        </w:rPr>
        <w:t>д) условие о праве Заказчика передавать право требования по Независимой гарантии в случае перемены покупателя (заказчика) по Договору при осуществлении закупки с предварительным извещением об этом гаранта;</w:t>
      </w:r>
    </w:p>
    <w:p>
      <w:pPr>
        <w:pStyle w:val="Normal"/>
        <w:spacing w:lineRule="auto" w:line="240"/>
        <w:ind w:firstLine="709"/>
        <w:rPr>
          <w:bCs/>
          <w:sz w:val="24"/>
          <w:szCs w:val="24"/>
        </w:rPr>
      </w:pPr>
      <w:r>
        <w:rPr>
          <w:bCs/>
          <w:sz w:val="24"/>
          <w:szCs w:val="24"/>
        </w:rPr>
        <w:t>е) условие о том, что расходы, возникающие в связи с перечислением гарантом денежных средств по Независимой гарантии, несет гарант;</w:t>
      </w:r>
    </w:p>
    <w:p>
      <w:pPr>
        <w:pStyle w:val="Normal"/>
        <w:spacing w:lineRule="auto" w:line="240"/>
        <w:ind w:firstLine="709"/>
        <w:rPr>
          <w:bCs/>
          <w:sz w:val="24"/>
          <w:szCs w:val="24"/>
        </w:rPr>
      </w:pPr>
      <w:r>
        <w:rPr>
          <w:bCs/>
          <w:sz w:val="24"/>
          <w:szCs w:val="24"/>
        </w:rPr>
        <w:t xml:space="preserve">ж) условие о том, что исключение банка (если Независимая гарантия выдана банком) из перечня, предусмотренного частью 1.2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от 24.07.2007 № 209-ФЗ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статьи 45 </w:t>
      </w:r>
      <w:r>
        <w:rPr>
          <w:sz w:val="24"/>
          <w:szCs w:val="24"/>
        </w:rPr>
        <w:t>Федерального закона от 05.04.2013 № 44-ФЗ «О контрактной системе в сфере закупок товаров, работ, услуг для обеспечения государственных и муниципальных нужд»</w:t>
      </w:r>
      <w:r>
        <w:rPr>
          <w:bCs/>
          <w:sz w:val="24"/>
          <w:szCs w:val="24"/>
        </w:rPr>
        <w:t>, не прекращает действия Независимой гарантии и не освобождает гаранта от ответственности за неисполнение либо ненадлежащее исполнение ее условий;</w:t>
      </w:r>
    </w:p>
    <w:p>
      <w:pPr>
        <w:pStyle w:val="Normal"/>
        <w:spacing w:lineRule="auto" w:line="240"/>
        <w:ind w:firstLine="709"/>
        <w:rPr>
          <w:bCs/>
          <w:sz w:val="24"/>
          <w:szCs w:val="24"/>
        </w:rPr>
      </w:pPr>
      <w:r>
        <w:rPr>
          <w:bCs/>
          <w:sz w:val="24"/>
          <w:szCs w:val="24"/>
        </w:rPr>
        <w:t>з) условие о рассмотрении споров, возникающих в связи с исполнением обязательств по Независимой гарантии, в Арбитражном суде Хабаровского края;</w:t>
      </w:r>
    </w:p>
    <w:p>
      <w:pPr>
        <w:pStyle w:val="Normal"/>
        <w:spacing w:lineRule="auto" w:line="240"/>
        <w:ind w:firstLine="709"/>
        <w:rPr>
          <w:bCs/>
          <w:sz w:val="24"/>
          <w:szCs w:val="24"/>
        </w:rPr>
      </w:pPr>
      <w:r>
        <w:rPr>
          <w:bCs/>
          <w:sz w:val="24"/>
          <w:szCs w:val="24"/>
        </w:rPr>
        <w:t>и) условие, согласно которому 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 указанный бенефициаром в требовании об уплате денежной суммы по Независимой гарантии.</w:t>
      </w:r>
    </w:p>
    <w:p>
      <w:pPr>
        <w:pStyle w:val="Normal"/>
        <w:spacing w:lineRule="auto" w:line="240"/>
        <w:ind w:firstLine="709"/>
        <w:rPr>
          <w:bCs/>
          <w:sz w:val="24"/>
          <w:szCs w:val="24"/>
        </w:rPr>
      </w:pPr>
      <w:r>
        <w:rPr>
          <w:bCs/>
          <w:sz w:val="24"/>
          <w:szCs w:val="24"/>
        </w:rPr>
        <w:t>к) условие, содержащее обязанность гаранта уплатить Заказчику денежную сумму по Независимой гарантии в размере, указанном в требовании, не позднее 10 (десяти) рабочих дней со дня, следующего за днем получения гарантом требования Заказчиком, соответствующего условиям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pPr>
        <w:pStyle w:val="Normal"/>
        <w:spacing w:lineRule="auto" w:line="240"/>
        <w:ind w:firstLine="709"/>
        <w:rPr>
          <w:bCs/>
          <w:sz w:val="24"/>
          <w:szCs w:val="24"/>
        </w:rPr>
      </w:pPr>
      <w:r>
        <w:rPr>
          <w:bCs/>
          <w:sz w:val="24"/>
          <w:szCs w:val="24"/>
        </w:rPr>
        <w:t>6.8 Независимая гарантия не должна содержать условия:</w:t>
      </w:r>
    </w:p>
    <w:p>
      <w:pPr>
        <w:pStyle w:val="Normal"/>
        <w:spacing w:lineRule="auto" w:line="240"/>
        <w:ind w:firstLine="709"/>
        <w:rPr>
          <w:bCs/>
          <w:sz w:val="24"/>
          <w:szCs w:val="24"/>
        </w:rPr>
      </w:pPr>
      <w:r>
        <w:rPr>
          <w:bCs/>
          <w:sz w:val="24"/>
          <w:szCs w:val="24"/>
        </w:rPr>
        <w:t>а) предусматривающие или влекущие представление Заказчиком гаранту, в том числе одновременно с требованием об уплате денежной суммы по Независимой гарантии, документов, не предусмотренных условиями Независимой гарантии и п. 9 Положения 20;</w:t>
      </w:r>
    </w:p>
    <w:p>
      <w:pPr>
        <w:pStyle w:val="Normal"/>
        <w:spacing w:lineRule="auto" w:line="240"/>
        <w:ind w:firstLine="709"/>
        <w:rPr>
          <w:bCs/>
          <w:sz w:val="24"/>
          <w:szCs w:val="24"/>
        </w:rPr>
      </w:pPr>
      <w:r>
        <w:rPr>
          <w:bCs/>
          <w:sz w:val="24"/>
          <w:szCs w:val="24"/>
        </w:rPr>
        <w:t>б) о праве гаранта отказывать в удовлетворении требования Заказчика об уплате денежной суммы по Независимой гарантии в случае непредставления Заказчиком) гаранту уведомления о нарушении Подрядчиком условий договора или о расторжении договора;</w:t>
      </w:r>
    </w:p>
    <w:p>
      <w:pPr>
        <w:pStyle w:val="Normal"/>
        <w:spacing w:lineRule="auto" w:line="240"/>
        <w:ind w:firstLine="709"/>
        <w:rPr>
          <w:bCs/>
          <w:sz w:val="24"/>
          <w:szCs w:val="24"/>
        </w:rPr>
      </w:pPr>
      <w:r>
        <w:rPr>
          <w:bCs/>
          <w:sz w:val="24"/>
          <w:szCs w:val="24"/>
        </w:rPr>
        <w:t>в) допускающие или влекущие взимание гарантом с Заказчика платы за представление Заказчиком гаранту требования об уплате денежной суммы по Независимой гарантии, направленного в форме электронного документа, или влекущие необходимость использования Заказчиком информационных систем, предусматривающих взимание с него платы при представлении такого требования в форме электронного документа;</w:t>
      </w:r>
    </w:p>
    <w:p>
      <w:pPr>
        <w:pStyle w:val="Normal"/>
        <w:spacing w:lineRule="auto" w:line="240"/>
        <w:ind w:firstLine="709"/>
        <w:rPr>
          <w:bCs/>
          <w:sz w:val="24"/>
          <w:szCs w:val="24"/>
        </w:rPr>
      </w:pPr>
      <w:r>
        <w:rPr>
          <w:bCs/>
          <w:sz w:val="24"/>
          <w:szCs w:val="24"/>
        </w:rPr>
        <w:t>г) о предоставлении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pPr>
        <w:pStyle w:val="Normal"/>
        <w:spacing w:lineRule="auto" w:line="240"/>
        <w:ind w:firstLine="709"/>
        <w:rPr>
          <w:bCs/>
          <w:sz w:val="24"/>
          <w:szCs w:val="24"/>
        </w:rPr>
      </w:pPr>
      <w:r>
        <w:rPr>
          <w:bCs/>
          <w:sz w:val="24"/>
          <w:szCs w:val="24"/>
        </w:rPr>
        <w:t>6.9 Независимая гарантия может быть принята от гаранта, входящего в перечни, предусмотренные частью 1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(далее Федеральный закон № 44-ФЗ):</w:t>
      </w:r>
    </w:p>
    <w:p>
      <w:pPr>
        <w:pStyle w:val="Normal"/>
        <w:spacing w:lineRule="auto" w:line="240"/>
        <w:ind w:firstLine="709"/>
        <w:rPr>
          <w:bCs/>
          <w:sz w:val="24"/>
          <w:szCs w:val="24"/>
        </w:rPr>
      </w:pPr>
      <w:r>
        <w:rPr>
          <w:bCs/>
          <w:sz w:val="24"/>
          <w:szCs w:val="24"/>
        </w:rPr>
        <w:t xml:space="preserve">1) банками, соответствующими требованиям, установленным Правительством Российской Федерации, и включенными в перечень, предусмотренный частью 1.2. статьи 45 Федерального закона № 44-ФЗ. </w:t>
      </w:r>
    </w:p>
    <w:p>
      <w:pPr>
        <w:pStyle w:val="Normal"/>
        <w:spacing w:lineRule="auto" w:line="240"/>
        <w:ind w:firstLine="709"/>
        <w:rPr>
          <w:bCs/>
          <w:sz w:val="24"/>
          <w:szCs w:val="24"/>
        </w:rPr>
      </w:pPr>
      <w:r>
        <w:rPr>
          <w:bCs/>
          <w:sz w:val="24"/>
          <w:szCs w:val="24"/>
        </w:rPr>
        <w:t>Актуальный перечень банков размещен на сайте Минфина РФ.  (https://minfin.gov.ru/ru/perfomance/contracts/list_banks/);</w:t>
      </w:r>
    </w:p>
    <w:p>
      <w:pPr>
        <w:pStyle w:val="Normal"/>
        <w:spacing w:lineRule="auto" w:line="240"/>
        <w:ind w:firstLine="709"/>
        <w:rPr>
          <w:bCs/>
          <w:sz w:val="24"/>
          <w:szCs w:val="24"/>
        </w:rPr>
      </w:pPr>
      <w:r>
        <w:rPr>
          <w:bCs/>
          <w:sz w:val="24"/>
          <w:szCs w:val="24"/>
        </w:rPr>
        <w:t>2) государственной корпорацией развития "ВЭБ.РФ";</w:t>
      </w:r>
    </w:p>
    <w:p>
      <w:pPr>
        <w:pStyle w:val="Normal"/>
        <w:spacing w:lineRule="auto" w:line="240"/>
        <w:ind w:firstLine="709"/>
        <w:rPr>
          <w:bCs/>
          <w:sz w:val="24"/>
          <w:szCs w:val="24"/>
        </w:rPr>
      </w:pPr>
      <w:r>
        <w:rPr>
          <w:bCs/>
          <w:sz w:val="24"/>
          <w:szCs w:val="24"/>
        </w:rPr>
        <w:t>3) 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Федеральным законом от 24 июля 2007 года N 209-ФЗ "О развитии малого и среднего предпринимательства в Российской Федерации", соответствующими требованиям, установленным Правительством Российской Федерации, и включенными в перечень, предусмотренный частью 1.7. статьи 45 Федерального закона № 44-ФЗ (при осуществлении закупок в соответствии с пунктом 1 части 1 статьи 30 настоящего Федерального закона).</w:t>
      </w:r>
    </w:p>
    <w:p>
      <w:pPr>
        <w:pStyle w:val="Normal"/>
        <w:spacing w:lineRule="auto" w:line="240"/>
        <w:ind w:firstLine="709"/>
        <w:rPr>
          <w:bCs/>
          <w:sz w:val="24"/>
          <w:szCs w:val="24"/>
        </w:rPr>
      </w:pPr>
      <w:r>
        <w:rPr>
          <w:bCs/>
          <w:sz w:val="24"/>
          <w:szCs w:val="24"/>
        </w:rPr>
        <w:t>Актуальный перечень банков размещен на сайте Минфина РФ.  (https://minfin.gov.ru/ru/perfomance/contracts/list_</w:t>
      </w:r>
      <w:r>
        <w:rPr>
          <w:bCs/>
          <w:sz w:val="24"/>
          <w:szCs w:val="24"/>
          <w:lang w:val="en-US"/>
        </w:rPr>
        <w:t>org</w:t>
      </w:r>
      <w:r>
        <w:rPr>
          <w:bCs/>
          <w:sz w:val="24"/>
          <w:szCs w:val="24"/>
        </w:rPr>
        <w:t>/);</w:t>
      </w:r>
    </w:p>
    <w:p>
      <w:pPr>
        <w:pStyle w:val="Normal"/>
        <w:spacing w:lineRule="auto" w:line="240"/>
        <w:ind w:firstLine="709"/>
        <w:rPr>
          <w:bCs/>
          <w:sz w:val="24"/>
          <w:szCs w:val="24"/>
        </w:rPr>
      </w:pPr>
      <w:r>
        <w:rPr>
          <w:bCs/>
          <w:sz w:val="24"/>
          <w:szCs w:val="24"/>
        </w:rPr>
        <w:t>4) 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pPr>
        <w:pStyle w:val="Normal"/>
        <w:spacing w:lineRule="auto" w:line="240"/>
        <w:ind w:firstLine="709"/>
        <w:rPr>
          <w:bCs/>
          <w:sz w:val="24"/>
          <w:szCs w:val="24"/>
        </w:rPr>
      </w:pPr>
      <w:r>
        <w:rPr>
          <w:bCs/>
          <w:sz w:val="24"/>
          <w:szCs w:val="24"/>
        </w:rPr>
        <w:t xml:space="preserve">6.10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w:t>
      </w:r>
      <w:r>
        <w:rPr>
          <w:sz w:val="24"/>
          <w:szCs w:val="24"/>
        </w:rPr>
        <w:t xml:space="preserve">(начиная со дня, следующего за днем истечения установленного Независимой гарантией срока оплаты требования, по день исполнения гарантом требования включительно) </w:t>
      </w:r>
      <w:r>
        <w:rPr>
          <w:bCs/>
          <w:sz w:val="24"/>
          <w:szCs w:val="24"/>
        </w:rPr>
        <w:t>уплатить Заказчику неустойку (пени) в размере 0,1 процента денежной суммы, подлежащей уплате по Независимой гарантии.</w:t>
      </w:r>
    </w:p>
    <w:p>
      <w:pPr>
        <w:pStyle w:val="Normal"/>
        <w:spacing w:lineRule="auto" w:line="240"/>
        <w:ind w:firstLine="709"/>
        <w:rPr>
          <w:bCs/>
          <w:sz w:val="24"/>
          <w:szCs w:val="24"/>
        </w:rPr>
      </w:pPr>
      <w:r>
        <w:rPr>
          <w:bCs/>
          <w:sz w:val="24"/>
          <w:szCs w:val="24"/>
        </w:rPr>
        <w:t>6.11 Условия Независимых гарантий не должны противоречить:</w:t>
      </w:r>
    </w:p>
    <w:p>
      <w:pPr>
        <w:pStyle w:val="Normal"/>
        <w:numPr>
          <w:ilvl w:val="0"/>
          <w:numId w:val="22"/>
        </w:numPr>
        <w:spacing w:lineRule="auto" w:line="240"/>
        <w:ind w:firstLine="709" w:left="0"/>
        <w:rPr>
          <w:bCs/>
          <w:sz w:val="24"/>
          <w:szCs w:val="24"/>
        </w:rPr>
      </w:pPr>
      <w:r>
        <w:rPr>
          <w:bCs/>
          <w:sz w:val="24"/>
          <w:szCs w:val="24"/>
        </w:rPr>
        <w:t xml:space="preserve">положениям извещения об осуществлении конкурентной закупки, </w:t>
      </w:r>
    </w:p>
    <w:p>
      <w:pPr>
        <w:pStyle w:val="Normal"/>
        <w:numPr>
          <w:ilvl w:val="0"/>
          <w:numId w:val="22"/>
        </w:numPr>
        <w:spacing w:lineRule="auto" w:line="240"/>
        <w:ind w:firstLine="709" w:left="0"/>
        <w:rPr>
          <w:bCs/>
          <w:sz w:val="24"/>
          <w:szCs w:val="24"/>
        </w:rPr>
      </w:pPr>
      <w:r>
        <w:rPr>
          <w:bCs/>
          <w:sz w:val="24"/>
          <w:szCs w:val="24"/>
        </w:rPr>
        <w:t xml:space="preserve">документации о конкурентной закупке </w:t>
      </w:r>
    </w:p>
    <w:p>
      <w:pPr>
        <w:pStyle w:val="Normal"/>
        <w:numPr>
          <w:ilvl w:val="0"/>
          <w:numId w:val="22"/>
        </w:numPr>
        <w:spacing w:lineRule="auto" w:line="240"/>
        <w:ind w:firstLine="709" w:left="0"/>
        <w:rPr>
          <w:bCs/>
          <w:sz w:val="24"/>
          <w:szCs w:val="24"/>
        </w:rPr>
      </w:pPr>
      <w:r>
        <w:rPr>
          <w:bCs/>
          <w:sz w:val="24"/>
          <w:szCs w:val="24"/>
        </w:rPr>
        <w:t xml:space="preserve">Единому Положению о закупке продукции для нужд Группы РусГидро, </w:t>
      </w:r>
    </w:p>
    <w:p>
      <w:pPr>
        <w:pStyle w:val="Normal"/>
        <w:numPr>
          <w:ilvl w:val="0"/>
          <w:numId w:val="22"/>
        </w:numPr>
        <w:spacing w:lineRule="auto" w:line="240"/>
        <w:ind w:firstLine="709" w:left="0"/>
        <w:rPr>
          <w:bCs/>
          <w:sz w:val="24"/>
          <w:szCs w:val="24"/>
        </w:rPr>
      </w:pPr>
      <w:r>
        <w:rPr>
          <w:bCs/>
          <w:sz w:val="24"/>
          <w:szCs w:val="24"/>
        </w:rPr>
        <w:t>требованиям к условиям Независимой гарантий, установленным Положением.</w:t>
      </w:r>
    </w:p>
    <w:p>
      <w:pPr>
        <w:pStyle w:val="Normal"/>
        <w:spacing w:lineRule="auto" w:line="240"/>
        <w:ind w:firstLine="709"/>
        <w:rPr>
          <w:bCs/>
          <w:sz w:val="24"/>
          <w:szCs w:val="24"/>
        </w:rPr>
      </w:pPr>
      <w:r>
        <w:rPr>
          <w:bCs/>
          <w:sz w:val="24"/>
          <w:szCs w:val="24"/>
        </w:rPr>
        <w:t>6.12 Несоответствие Независимой гарантии, предоставленной Подрядчиком, вышеперечисленным требованиям, является основанием для отказа в принятии ее Заказчиком.</w:t>
      </w:r>
    </w:p>
    <w:p>
      <w:pPr>
        <w:pStyle w:val="Normal"/>
        <w:spacing w:lineRule="auto" w:line="240"/>
        <w:ind w:firstLine="709"/>
        <w:rPr>
          <w:bCs/>
          <w:sz w:val="24"/>
          <w:szCs w:val="24"/>
        </w:rPr>
      </w:pPr>
      <w:r>
        <w:rPr>
          <w:bCs/>
          <w:sz w:val="24"/>
          <w:szCs w:val="24"/>
        </w:rPr>
        <w:t>6.13 Независимая гарантия не должна содержать условий или требований, противоречащих изложенному или делающих изложенное неисполнимым.</w:t>
      </w:r>
    </w:p>
    <w:p>
      <w:pPr>
        <w:pStyle w:val="ListParagraph"/>
        <w:tabs>
          <w:tab w:val="clear" w:pos="708"/>
          <w:tab w:val="left" w:pos="1134" w:leader="none"/>
        </w:tabs>
        <w:ind w:hanging="0" w:left="0"/>
        <w:jc w:val="both"/>
        <w:rPr>
          <w:bCs/>
        </w:rPr>
      </w:pPr>
      <w:r>
        <w:rPr>
          <w:bCs/>
        </w:rPr>
      </w:r>
    </w:p>
    <w:p>
      <w:pPr>
        <w:pStyle w:val="ListParagraph"/>
        <w:numPr>
          <w:ilvl w:val="0"/>
          <w:numId w:val="3"/>
        </w:numPr>
        <w:tabs>
          <w:tab w:val="clear" w:pos="708"/>
          <w:tab w:val="left" w:pos="284" w:leader="none"/>
        </w:tabs>
        <w:ind w:hanging="0" w:left="0"/>
        <w:jc w:val="center"/>
        <w:rPr>
          <w:b/>
          <w:bCs/>
        </w:rPr>
      </w:pPr>
      <w:r>
        <w:rPr>
          <w:b/>
          <w:bCs/>
        </w:rPr>
        <w:t>Ответственность Сторон</w:t>
      </w:r>
    </w:p>
    <w:p>
      <w:pPr>
        <w:pStyle w:val="Normal"/>
        <w:tabs>
          <w:tab w:val="clear" w:pos="708"/>
          <w:tab w:val="left" w:pos="1134" w:leader="none"/>
        </w:tabs>
        <w:spacing w:lineRule="auto" w:line="240"/>
        <w:ind w:hanging="0" w:left="710"/>
        <w:jc w:val="both"/>
        <w:rPr>
          <w:sz w:val="24"/>
          <w:szCs w:val="24"/>
        </w:rPr>
      </w:pPr>
      <w:r>
        <w:rPr>
          <w:bCs/>
          <w:sz w:val="24"/>
          <w:szCs w:val="24"/>
        </w:rPr>
        <w:t xml:space="preserve">7.1.   За   неисполнение   или   ненадлежащее   исполнение  принятых  обязательств  по </w:t>
      </w:r>
    </w:p>
    <w:p>
      <w:pPr>
        <w:pStyle w:val="Normal"/>
        <w:tabs>
          <w:tab w:val="clear" w:pos="708"/>
          <w:tab w:val="left" w:pos="1134" w:leader="none"/>
        </w:tabs>
        <w:spacing w:lineRule="auto" w:line="240"/>
        <w:ind w:hanging="0" w:left="0"/>
        <w:jc w:val="both"/>
        <w:rPr>
          <w:sz w:val="24"/>
          <w:szCs w:val="24"/>
        </w:rPr>
      </w:pPr>
      <w:r>
        <w:rPr>
          <w:bCs/>
          <w:sz w:val="24"/>
          <w:szCs w:val="24"/>
        </w:rPr>
        <w:t xml:space="preserve">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pPr>
        <w:pStyle w:val="Normal"/>
        <w:numPr>
          <w:ilvl w:val="1"/>
          <w:numId w:val="3"/>
        </w:numPr>
        <w:tabs>
          <w:tab w:val="clear" w:pos="708"/>
          <w:tab w:val="left" w:pos="1134" w:leader="none"/>
        </w:tabs>
        <w:spacing w:lineRule="auto" w:line="240"/>
        <w:ind w:firstLine="710" w:left="0"/>
        <w:rPr>
          <w:sz w:val="24"/>
          <w:szCs w:val="24"/>
        </w:rPr>
      </w:pPr>
      <w:r>
        <w:rPr>
          <w:sz w:val="24"/>
          <w:szCs w:val="24"/>
        </w:rPr>
        <w:t>Неустойка и/или иные штрафные санкции за неисполнение (ненадлежащее исполнение) Заказчиком обязательств по внесению предварительной оплаты (аванса) не устанавливаются.</w:t>
      </w:r>
    </w:p>
    <w:p>
      <w:pPr>
        <w:pStyle w:val="Normal"/>
        <w:numPr>
          <w:ilvl w:val="1"/>
          <w:numId w:val="3"/>
        </w:numPr>
        <w:tabs>
          <w:tab w:val="clear" w:pos="708"/>
          <w:tab w:val="left" w:pos="1134" w:leader="none"/>
        </w:tabs>
        <w:spacing w:lineRule="auto" w:line="240"/>
        <w:ind w:firstLine="710" w:left="0"/>
        <w:rPr>
          <w:bCs/>
          <w:sz w:val="24"/>
          <w:szCs w:val="24"/>
          <w:highlight w:val="white"/>
        </w:rPr>
      </w:pPr>
      <w:r>
        <w:rPr>
          <w:bCs/>
          <w:sz w:val="24"/>
          <w:szCs w:val="24"/>
          <w:highlight w:val="white"/>
        </w:rPr>
        <w:t>В случае нарушения Заказчиком сроков оплаты выполненных Работ, Подрядчик вправе потребовать уплаты Заказчиком исключительной неустойки в размере 0,1 (ноль целых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p>
    <w:p>
      <w:pPr>
        <w:pStyle w:val="Normal"/>
        <w:tabs>
          <w:tab w:val="clear" w:pos="708"/>
          <w:tab w:val="left" w:pos="710" w:leader="none"/>
        </w:tabs>
        <w:spacing w:lineRule="auto" w:line="240"/>
        <w:ind w:hanging="0" w:left="709"/>
        <w:rPr>
          <w:sz w:val="24"/>
          <w:szCs w:val="24"/>
        </w:rPr>
      </w:pPr>
      <w:r>
        <w:rPr>
          <w:bCs/>
          <w:sz w:val="24"/>
        </w:rPr>
        <w:t>7.4.</w:t>
      </w:r>
      <w:r>
        <w:rPr>
          <w:sz w:val="24"/>
        </w:rPr>
        <w:t xml:space="preserve"> </w:t>
      </w:r>
      <w:r>
        <w:rPr>
          <w:bCs/>
          <w:sz w:val="24"/>
          <w:szCs w:val="24"/>
        </w:rPr>
        <w:t xml:space="preserve">В случае нарушения Подрядчиком обязательств по выполнению Этапов Работ, а </w:t>
      </w:r>
    </w:p>
    <w:p>
      <w:pPr>
        <w:pStyle w:val="Normal"/>
        <w:tabs>
          <w:tab w:val="clear" w:pos="708"/>
          <w:tab w:val="left" w:pos="710" w:leader="none"/>
        </w:tabs>
        <w:spacing w:lineRule="auto" w:line="240"/>
        <w:ind w:hanging="0"/>
        <w:rPr>
          <w:sz w:val="24"/>
          <w:szCs w:val="24"/>
        </w:rPr>
      </w:pPr>
      <w:r>
        <w:rPr>
          <w:bCs/>
          <w:sz w:val="24"/>
          <w:szCs w:val="24"/>
        </w:rPr>
        <w:t xml:space="preserve">также в случае несвоевременного устранения выявленных недостатков Результата работ, Заказчик вправе требовать уплаты Подрядчиком: </w:t>
      </w:r>
    </w:p>
    <w:p>
      <w:pPr>
        <w:pStyle w:val="Normal"/>
        <w:tabs>
          <w:tab w:val="clear" w:pos="708"/>
          <w:tab w:val="left" w:pos="710" w:leader="none"/>
        </w:tabs>
        <w:spacing w:lineRule="auto" w:line="240"/>
        <w:ind w:firstLine="709"/>
        <w:rPr/>
      </w:pPr>
      <w:r>
        <w:rPr>
          <w:bCs/>
          <w:sz w:val="24"/>
          <w:szCs w:val="24"/>
        </w:rPr>
        <w:t xml:space="preserve">- неустойки в размере 0,1 (ноль целых и две десятых) процента от Цены Этапа Работ за каждый день просрочки выполнения Работ; </w:t>
      </w:r>
    </w:p>
    <w:p>
      <w:pPr>
        <w:pStyle w:val="Normal"/>
        <w:tabs>
          <w:tab w:val="clear" w:pos="708"/>
          <w:tab w:val="left" w:pos="710" w:leader="none"/>
        </w:tabs>
        <w:spacing w:lineRule="auto" w:line="240"/>
        <w:ind w:firstLine="709"/>
        <w:rPr/>
      </w:pPr>
      <w:r>
        <w:rPr>
          <w:bCs/>
          <w:sz w:val="24"/>
          <w:szCs w:val="24"/>
        </w:rPr>
        <w:t xml:space="preserve">- неустойки в размере 0,1 (ноль целых и одна десятая) процента от Цены Договора за каждый день просрочки - в случае несвоевременного устранения недостатков, влияющих на возможность использования Результата Работ в целом по Договору; </w:t>
      </w:r>
    </w:p>
    <w:p>
      <w:pPr>
        <w:pStyle w:val="Normal"/>
        <w:tabs>
          <w:tab w:val="clear" w:pos="708"/>
          <w:tab w:val="left" w:pos="710" w:leader="none"/>
        </w:tabs>
        <w:spacing w:lineRule="auto" w:line="240"/>
        <w:ind w:firstLine="709"/>
        <w:rPr/>
      </w:pPr>
      <w:r>
        <w:rPr>
          <w:bCs/>
          <w:sz w:val="24"/>
          <w:szCs w:val="24"/>
        </w:rPr>
        <w:t>- неустойки в размере 0,1 (ноль целых и одна десятая) процента от стоимости Этапа Работ за каждый день просрочки в случаях несвоевременного устранения недостатков, не влияющих на возможность использования Результата Работ в целом по Договору.</w:t>
      </w:r>
    </w:p>
    <w:p>
      <w:pPr>
        <w:pStyle w:val="Normal"/>
        <w:spacing w:lineRule="auto" w:line="240"/>
        <w:ind w:firstLine="709"/>
        <w:rPr>
          <w:sz w:val="24"/>
          <w:szCs w:val="24"/>
        </w:rPr>
      </w:pPr>
      <w:r>
        <w:rPr>
          <w:sz w:val="24"/>
          <w:szCs w:val="24"/>
        </w:rPr>
        <w:t>7.5.</w:t>
      </w:r>
      <w:r>
        <w:rPr>
          <w:bCs/>
        </w:rPr>
        <w:t xml:space="preserve"> </w:t>
      </w:r>
      <w:r>
        <w:rPr>
          <w:bCs/>
          <w:sz w:val="24"/>
          <w:szCs w:val="24"/>
        </w:rPr>
        <w:t>На сумму подлежащего возврату аванса начисляется неустойка в размере 0,1 (ноль целых и одна десятая) процента с даты, установленной для возврата аванса.</w:t>
      </w:r>
    </w:p>
    <w:p>
      <w:pPr>
        <w:pStyle w:val="Normal"/>
        <w:tabs>
          <w:tab w:val="clear" w:pos="708"/>
          <w:tab w:val="left" w:pos="1134" w:leader="none"/>
        </w:tabs>
        <w:spacing w:lineRule="auto" w:line="240"/>
        <w:ind w:hanging="0" w:left="709"/>
        <w:rPr>
          <w:sz w:val="24"/>
          <w:szCs w:val="24"/>
        </w:rPr>
      </w:pPr>
      <w:r>
        <w:rPr>
          <w:bCs/>
          <w:sz w:val="24"/>
          <w:szCs w:val="24"/>
        </w:rPr>
        <w:t xml:space="preserve">7.6    Подрядчик несет ответственность за  квалификацию  собственного  и </w:t>
      </w:r>
    </w:p>
    <w:p>
      <w:pPr>
        <w:pStyle w:val="Normal"/>
        <w:tabs>
          <w:tab w:val="clear" w:pos="708"/>
          <w:tab w:val="left" w:pos="1134" w:leader="none"/>
        </w:tabs>
        <w:spacing w:lineRule="auto" w:line="240"/>
        <w:ind w:hanging="0"/>
        <w:rPr>
          <w:sz w:val="24"/>
          <w:szCs w:val="24"/>
        </w:rPr>
      </w:pPr>
      <w:r>
        <w:rPr>
          <w:bCs/>
          <w:sz w:val="24"/>
          <w:szCs w:val="24"/>
        </w:rPr>
        <w:t>привлеченного персонала, организацию выполнения собственным и привлеченным персоналом требований охраны труда, техники безопасности, промышленной, пожарной безопасности, безопасное производство работ на объекте, где производятся работы.</w:t>
      </w:r>
    </w:p>
    <w:p>
      <w:pPr>
        <w:pStyle w:val="ListParagraph"/>
        <w:tabs>
          <w:tab w:val="clear" w:pos="708"/>
          <w:tab w:val="left" w:pos="1134" w:leader="none"/>
        </w:tabs>
        <w:ind w:firstLine="709" w:left="0"/>
        <w:jc w:val="both"/>
        <w:rPr>
          <w:bCs/>
        </w:rPr>
      </w:pPr>
      <w:r>
        <w:rPr>
          <w:bCs/>
        </w:rPr>
        <w:t>В случае выявления нарушений требований охраны труда, промышленной и по</w:t>
      </w:r>
      <w:r>
        <w:rPr>
          <w:bCs/>
          <w:highlight w:val="white"/>
        </w:rPr>
        <w:t>жарной безопасности, составляется совместный Акт, подписываемый обеими Сторонами (Приложение № 7 к настоящему Договору</w:t>
      </w:r>
      <w:r>
        <w:rPr>
          <w:bCs/>
        </w:rPr>
        <w:t>). В случае немотивированного отказа Подрядчика от подписания указанного Акта, Акт считается оформленным надлежащим образом.</w:t>
      </w:r>
    </w:p>
    <w:p>
      <w:pPr>
        <w:pStyle w:val="Normal"/>
        <w:tabs>
          <w:tab w:val="clear" w:pos="708"/>
          <w:tab w:val="left" w:pos="1134" w:leader="none"/>
        </w:tabs>
        <w:spacing w:lineRule="auto" w:line="240"/>
        <w:ind w:hanging="0" w:left="709"/>
        <w:rPr>
          <w:sz w:val="24"/>
          <w:szCs w:val="24"/>
        </w:rPr>
      </w:pPr>
      <w:r>
        <w:rPr>
          <w:bCs/>
          <w:sz w:val="24"/>
          <w:szCs w:val="24"/>
        </w:rPr>
        <w:t xml:space="preserve">7.7  </w:t>
      </w:r>
      <w:r>
        <w:rPr>
          <w:bCs/>
        </w:rPr>
        <w:t xml:space="preserve">   </w:t>
      </w:r>
      <w:r>
        <w:rPr>
          <w:bCs/>
          <w:sz w:val="24"/>
          <w:szCs w:val="24"/>
        </w:rPr>
        <w:t xml:space="preserve">В случае нарушения Подрядчиком или привлеченными им Субподрядчиками </w:t>
      </w:r>
    </w:p>
    <w:p>
      <w:pPr>
        <w:pStyle w:val="Normal"/>
        <w:tabs>
          <w:tab w:val="clear" w:pos="708"/>
          <w:tab w:val="left" w:pos="1134" w:leader="none"/>
        </w:tabs>
        <w:spacing w:lineRule="auto" w:line="240"/>
        <w:ind w:hanging="0"/>
        <w:rPr>
          <w:sz w:val="24"/>
          <w:szCs w:val="24"/>
        </w:rPr>
      </w:pPr>
      <w:r>
        <w:rPr>
          <w:bCs/>
          <w:sz w:val="24"/>
          <w:szCs w:val="24"/>
        </w:rPr>
        <w:t>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w:t>
      </w:r>
      <w:r>
        <w:rPr>
          <w:bCs/>
          <w:sz w:val="24"/>
          <w:szCs w:val="24"/>
          <w:highlight w:val="white"/>
        </w:rPr>
        <w:t xml:space="preserve">ных Приложением № 6 к </w:t>
      </w:r>
      <w:r>
        <w:rPr>
          <w:bCs/>
          <w:sz w:val="24"/>
          <w:szCs w:val="24"/>
        </w:rPr>
        <w:t>Договору.</w:t>
      </w:r>
    </w:p>
    <w:p>
      <w:pPr>
        <w:pStyle w:val="Normal"/>
        <w:spacing w:lineRule="auto" w:line="240"/>
        <w:ind w:hanging="0"/>
        <w:rPr>
          <w:bCs/>
          <w:sz w:val="24"/>
          <w:szCs w:val="24"/>
        </w:rPr>
      </w:pPr>
      <w:r>
        <w:rPr>
          <w:bCs/>
        </w:rPr>
        <w:t xml:space="preserve">          </w:t>
      </w:r>
      <w:r>
        <w:rPr>
          <w:bCs/>
          <w:sz w:val="24"/>
          <w:szCs w:val="24"/>
        </w:rPr>
        <w:t>7.8 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w:t>
      </w:r>
      <w:r>
        <w:rPr>
          <w:bCs/>
          <w:sz w:val="24"/>
          <w:szCs w:val="24"/>
          <w:highlight w:val="white"/>
        </w:rPr>
        <w:t xml:space="preserve"> пунктом 4.12 Догово</w:t>
      </w:r>
      <w:r>
        <w:rPr>
          <w:bCs/>
          <w:sz w:val="24"/>
          <w:szCs w:val="24"/>
        </w:rPr>
        <w:t>ра, Заказчик вправе требовать уплаты Подрядчиком штрафа в размере 50 000 (пятидесяти тысяч) рублей за каждый случай нарушения.</w:t>
      </w:r>
    </w:p>
    <w:p>
      <w:pPr>
        <w:pStyle w:val="Normal"/>
        <w:tabs>
          <w:tab w:val="clear" w:pos="708"/>
          <w:tab w:val="left" w:pos="1080" w:leader="none"/>
          <w:tab w:val="left" w:pos="1140" w:leader="none"/>
        </w:tabs>
        <w:spacing w:lineRule="auto" w:line="240"/>
        <w:ind w:hanging="0" w:left="709"/>
        <w:rPr>
          <w:sz w:val="24"/>
          <w:szCs w:val="24"/>
        </w:rPr>
      </w:pPr>
      <w:r>
        <w:rPr>
          <w:bCs/>
          <w:sz w:val="24"/>
          <w:szCs w:val="24"/>
        </w:rPr>
        <w:t>7.9      За непредоставление либо несвоевременное предоставление / переоформление</w:t>
      </w:r>
    </w:p>
    <w:p>
      <w:pPr>
        <w:pStyle w:val="Normal"/>
        <w:tabs>
          <w:tab w:val="clear" w:pos="708"/>
          <w:tab w:val="left" w:pos="1134" w:leader="none"/>
        </w:tabs>
        <w:spacing w:lineRule="auto" w:line="240"/>
        <w:ind w:hanging="0"/>
        <w:rPr/>
      </w:pPr>
      <w:r>
        <w:rPr>
          <w:bCs/>
          <w:sz w:val="24"/>
          <w:szCs w:val="24"/>
        </w:rPr>
        <w:t xml:space="preserve">Подрядчиком Независимых гарантий, предусмотренных Договором, в порядке и сроки, установленные разделом 6 Договора, Заказчик имеет право начислять пени в размере 0,03 (ноль целях три сотых) % от цены Договора за каждый день просрочки. </w:t>
      </w:r>
    </w:p>
    <w:p>
      <w:pPr>
        <w:pStyle w:val="Normal"/>
        <w:tabs>
          <w:tab w:val="clear" w:pos="708"/>
          <w:tab w:val="left" w:pos="1134" w:leader="none"/>
        </w:tabs>
        <w:spacing w:lineRule="auto" w:line="240"/>
        <w:ind w:hanging="0" w:left="709"/>
        <w:rPr>
          <w:sz w:val="24"/>
          <w:szCs w:val="24"/>
        </w:rPr>
      </w:pPr>
      <w:r>
        <w:rPr>
          <w:bCs/>
          <w:sz w:val="24"/>
          <w:szCs w:val="24"/>
        </w:rPr>
        <w:t xml:space="preserve">7.10    Обязанность   по   уплате  неустойки  и  /  или  штрафов,  возмещения  убытков, </w:t>
      </w:r>
    </w:p>
    <w:p>
      <w:pPr>
        <w:pStyle w:val="Normal"/>
        <w:tabs>
          <w:tab w:val="clear" w:pos="708"/>
          <w:tab w:val="left" w:pos="1134" w:leader="none"/>
        </w:tabs>
        <w:spacing w:lineRule="auto" w:line="240"/>
        <w:ind w:hanging="0"/>
        <w:rPr/>
      </w:pPr>
      <w:r>
        <w:rPr>
          <w:bCs/>
          <w:sz w:val="24"/>
          <w:szCs w:val="24"/>
        </w:rPr>
        <w:t xml:space="preserve">предусмотренных Договором, возникает у любой из Сторон только при условии получения письменного требования другой Стороны. </w:t>
      </w:r>
      <w:r>
        <w:rPr>
          <w:bCs/>
        </w:rPr>
        <w:t xml:space="preserve">  </w:t>
      </w:r>
    </w:p>
    <w:p>
      <w:pPr>
        <w:pStyle w:val="Normal"/>
        <w:tabs>
          <w:tab w:val="clear" w:pos="708"/>
          <w:tab w:val="left" w:pos="1134" w:leader="none"/>
        </w:tabs>
        <w:spacing w:lineRule="auto" w:line="240"/>
        <w:ind w:firstLine="709"/>
        <w:rPr>
          <w:bCs/>
        </w:rPr>
      </w:pPr>
      <w:r>
        <w:rPr>
          <w:bCs/>
          <w:sz w:val="24"/>
          <w:szCs w:val="24"/>
        </w:rPr>
        <w:t xml:space="preserve">7.11    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 </w:t>
      </w:r>
    </w:p>
    <w:p>
      <w:pPr>
        <w:pStyle w:val="Normal"/>
        <w:tabs>
          <w:tab w:val="clear" w:pos="708"/>
          <w:tab w:val="left" w:pos="1134" w:leader="none"/>
        </w:tabs>
        <w:spacing w:lineRule="auto" w:line="240"/>
        <w:ind w:firstLine="709"/>
        <w:rPr>
          <w:bCs/>
          <w:sz w:val="24"/>
          <w:szCs w:val="24"/>
        </w:rPr>
      </w:pPr>
      <w:r>
        <w:rPr>
          <w:bCs/>
          <w:sz w:val="24"/>
          <w:szCs w:val="24"/>
        </w:rPr>
        <w:t xml:space="preserve">7.12   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 </w:t>
      </w:r>
    </w:p>
    <w:p>
      <w:pPr>
        <w:pStyle w:val="ListParagraph"/>
        <w:numPr>
          <w:ilvl w:val="1"/>
          <w:numId w:val="24"/>
        </w:numPr>
        <w:ind w:firstLine="709" w:left="0"/>
        <w:jc w:val="both"/>
        <w:rPr>
          <w:bCs/>
        </w:rPr>
      </w:pPr>
      <w:r>
        <w:rPr>
          <w:bCs/>
        </w:rPr>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w:t>
      </w:r>
      <w:r>
        <w:rPr/>
        <w:t xml:space="preserve"> </w:t>
      </w:r>
      <w:r>
        <w:rPr>
          <w:bCs/>
        </w:rPr>
        <w:t xml:space="preserve">сумма неустойки, подлежащая уплате виновной Стороной, определяется на основании решения суда.  </w:t>
      </w:r>
    </w:p>
    <w:p>
      <w:pPr>
        <w:pStyle w:val="ListParagraph"/>
        <w:numPr>
          <w:ilvl w:val="1"/>
          <w:numId w:val="24"/>
        </w:numPr>
        <w:ind w:firstLine="709" w:left="0"/>
        <w:jc w:val="both"/>
        <w:rPr>
          <w:bCs/>
        </w:rPr>
      </w:pPr>
      <w:r>
        <w:rPr>
          <w:bCs/>
        </w:rPr>
        <w:t xml:space="preserve">В случае нарушения Подрядчиком обязательств по выполнению работ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 и потребовать возврата уплаченных денежных средств. </w:t>
      </w:r>
    </w:p>
    <w:p>
      <w:pPr>
        <w:pStyle w:val="ListParagraph"/>
        <w:tabs>
          <w:tab w:val="clear" w:pos="708"/>
          <w:tab w:val="left" w:pos="284" w:leader="none"/>
        </w:tabs>
        <w:ind w:hanging="0" w:left="0"/>
        <w:rPr>
          <w:b/>
          <w:bCs/>
        </w:rPr>
      </w:pPr>
      <w:r>
        <w:rPr>
          <w:b/>
          <w:bCs/>
        </w:rPr>
      </w:r>
    </w:p>
    <w:p>
      <w:pPr>
        <w:pStyle w:val="ListParagraph"/>
        <w:numPr>
          <w:ilvl w:val="0"/>
          <w:numId w:val="3"/>
        </w:numPr>
        <w:tabs>
          <w:tab w:val="clear" w:pos="708"/>
          <w:tab w:val="left" w:pos="284" w:leader="none"/>
        </w:tabs>
        <w:ind w:hanging="0" w:left="0"/>
        <w:jc w:val="center"/>
        <w:rPr>
          <w:b/>
          <w:bCs/>
        </w:rPr>
      </w:pPr>
      <w:r>
        <w:rPr>
          <w:b/>
          <w:bCs/>
        </w:rPr>
        <w:t>Гарантии качества Результата работ</w:t>
      </w:r>
    </w:p>
    <w:p>
      <w:pPr>
        <w:pStyle w:val="Normal"/>
        <w:tabs>
          <w:tab w:val="clear" w:pos="708"/>
          <w:tab w:val="left" w:pos="1134" w:leader="none"/>
        </w:tabs>
        <w:spacing w:lineRule="auto" w:line="240"/>
        <w:ind w:hanging="0" w:left="709"/>
        <w:rPr>
          <w:sz w:val="24"/>
          <w:szCs w:val="24"/>
        </w:rPr>
      </w:pPr>
      <w:bookmarkStart w:id="26" w:name="_Ref361337777"/>
      <w:r>
        <w:rPr>
          <w:sz w:val="24"/>
          <w:szCs w:val="24"/>
        </w:rPr>
        <w:t xml:space="preserve">8.1.    </w:t>
      </w:r>
      <w:r>
        <w:rPr>
          <w:sz w:val="24"/>
          <w:szCs w:val="24"/>
          <w:highlight w:val="white"/>
        </w:rPr>
        <w:t xml:space="preserve"> Гарантийный</w:t>
      </w:r>
      <w:r>
        <w:rPr>
          <w:bCs/>
          <w:sz w:val="24"/>
          <w:szCs w:val="24"/>
          <w:highlight w:val="white"/>
        </w:rPr>
        <w:t xml:space="preserve">  срок   по   </w:t>
      </w:r>
      <w:r>
        <w:rPr>
          <w:bCs/>
          <w:sz w:val="24"/>
          <w:szCs w:val="24"/>
        </w:rPr>
        <w:t xml:space="preserve">Договору   составляет </w:t>
      </w:r>
      <w:r>
        <w:rPr>
          <w:sz w:val="24"/>
          <w:szCs w:val="24"/>
          <w:u w:val="single"/>
        </w:rPr>
        <w:t xml:space="preserve"> 24</w:t>
      </w:r>
      <w:r>
        <w:rPr>
          <w:sz w:val="24"/>
          <w:szCs w:val="24"/>
        </w:rPr>
        <w:t>_</w:t>
      </w:r>
      <w:r>
        <w:rPr>
          <w:bCs/>
          <w:sz w:val="24"/>
          <w:szCs w:val="24"/>
        </w:rPr>
        <w:t>(</w:t>
      </w:r>
      <w:r>
        <w:rPr>
          <w:bCs/>
          <w:sz w:val="24"/>
          <w:szCs w:val="24"/>
          <w:u w:val="single"/>
        </w:rPr>
        <w:t>двадцать четыре</w:t>
      </w:r>
      <w:r>
        <w:rPr>
          <w:bCs/>
          <w:sz w:val="24"/>
          <w:szCs w:val="24"/>
        </w:rPr>
        <w:t>)</w:t>
      </w:r>
      <w:r>
        <w:rPr>
          <w:sz w:val="24"/>
          <w:szCs w:val="24"/>
        </w:rPr>
        <w:t xml:space="preserve">  месяца</w:t>
      </w:r>
      <w:r>
        <w:rPr>
          <w:bCs/>
          <w:sz w:val="24"/>
          <w:szCs w:val="24"/>
        </w:rPr>
        <w:t xml:space="preserve">  и </w:t>
      </w:r>
    </w:p>
    <w:p>
      <w:pPr>
        <w:pStyle w:val="Normal"/>
        <w:tabs>
          <w:tab w:val="clear" w:pos="708"/>
          <w:tab w:val="left" w:pos="1134" w:leader="none"/>
        </w:tabs>
        <w:spacing w:lineRule="auto" w:line="240"/>
        <w:ind w:hanging="0" w:left="0"/>
        <w:rPr>
          <w:sz w:val="24"/>
          <w:szCs w:val="24"/>
        </w:rPr>
      </w:pPr>
      <w:r>
        <w:rPr>
          <w:bCs/>
          <w:sz w:val="24"/>
          <w:szCs w:val="24"/>
        </w:rPr>
        <w:t>начинает течь с даты подписания Сторонами А</w:t>
      </w:r>
      <w:r>
        <w:rPr>
          <w:sz w:val="24"/>
          <w:szCs w:val="24"/>
        </w:rPr>
        <w:t>кта КС-11</w:t>
      </w:r>
      <w:r>
        <w:rPr>
          <w:bCs/>
          <w:sz w:val="24"/>
          <w:szCs w:val="24"/>
        </w:rPr>
        <w:t xml:space="preserve"> </w:t>
      </w:r>
      <w:bookmarkEnd w:id="26"/>
      <w:r>
        <w:rPr>
          <w:bCs/>
          <w:sz w:val="24"/>
          <w:szCs w:val="24"/>
        </w:rPr>
        <w:t xml:space="preserve">либо с даты прекращения (расторжения) Договора. Гарантийный срок может быть продлен в соответствии с условиями Договора. </w:t>
      </w:r>
    </w:p>
    <w:p>
      <w:pPr>
        <w:pStyle w:val="ListParagraph"/>
        <w:numPr>
          <w:ilvl w:val="1"/>
          <w:numId w:val="3"/>
        </w:numPr>
        <w:tabs>
          <w:tab w:val="clear" w:pos="708"/>
          <w:tab w:val="left" w:pos="568" w:leader="none"/>
          <w:tab w:val="left" w:pos="1134" w:leader="none"/>
        </w:tabs>
        <w:ind w:firstLine="709" w:left="0"/>
        <w:jc w:val="both"/>
        <w:rPr>
          <w:bCs/>
        </w:rPr>
      </w:pPr>
      <w:r>
        <w:rPr>
          <w:bCs/>
        </w:rPr>
        <w:t>Гарантийные обязательства Подрядчика наступают с даты подписания 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(исполнения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pPr>
        <w:pStyle w:val="ListParagraph"/>
        <w:numPr>
          <w:ilvl w:val="1"/>
          <w:numId w:val="3"/>
        </w:numPr>
        <w:tabs>
          <w:tab w:val="clear" w:pos="708"/>
          <w:tab w:val="left" w:pos="1134" w:leader="none"/>
        </w:tabs>
        <w:ind w:firstLine="709" w:left="0"/>
        <w:jc w:val="both"/>
        <w:rPr>
          <w:bCs/>
        </w:rPr>
      </w:pPr>
      <w:r>
        <w:rPr>
          <w:bCs/>
        </w:rPr>
        <w:t>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Оборудования, прямо предусмотренных в инструкциях и иных документах, переданных Заказчику.</w:t>
      </w:r>
    </w:p>
    <w:p>
      <w:pPr>
        <w:pStyle w:val="ListParagraph"/>
        <w:numPr>
          <w:ilvl w:val="1"/>
          <w:numId w:val="3"/>
        </w:numPr>
        <w:tabs>
          <w:tab w:val="clear" w:pos="708"/>
          <w:tab w:val="left" w:pos="1134" w:leader="none"/>
        </w:tabs>
        <w:ind w:firstLine="709" w:left="0"/>
        <w:jc w:val="both"/>
        <w:rPr>
          <w:bCs/>
        </w:rPr>
      </w:pPr>
      <w:bookmarkStart w:id="27" w:name="_Ref361337764"/>
      <w:r>
        <w:rPr>
          <w:bCs/>
        </w:rPr>
        <w:t>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27"/>
      <w:r>
        <w:rPr>
          <w:bCs/>
        </w:rPr>
        <w:t xml:space="preserve"> </w:t>
      </w:r>
    </w:p>
    <w:p>
      <w:pPr>
        <w:pStyle w:val="ListParagraph"/>
        <w:numPr>
          <w:ilvl w:val="1"/>
          <w:numId w:val="3"/>
        </w:numPr>
        <w:tabs>
          <w:tab w:val="clear" w:pos="708"/>
          <w:tab w:val="left" w:pos="1134" w:leader="none"/>
        </w:tabs>
        <w:ind w:firstLine="709" w:left="0"/>
        <w:jc w:val="both"/>
        <w:rPr>
          <w:bCs/>
        </w:rPr>
      </w:pPr>
      <w:r>
        <w:rPr>
          <w:bCs/>
        </w:rPr>
        <w:t>Наличие и полный перечень недостатков,</w:t>
      </w:r>
      <w:r>
        <w:rPr/>
        <w:t xml:space="preserve"> </w:t>
      </w:r>
      <w:r>
        <w:rPr>
          <w:bCs/>
        </w:rPr>
        <w:t>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pPr>
        <w:pStyle w:val="ListParagraph"/>
        <w:numPr>
          <w:ilvl w:val="1"/>
          <w:numId w:val="3"/>
        </w:numPr>
        <w:tabs>
          <w:tab w:val="clear" w:pos="708"/>
          <w:tab w:val="left" w:pos="1134" w:leader="none"/>
        </w:tabs>
        <w:ind w:firstLine="709" w:left="0"/>
        <w:jc w:val="both"/>
        <w:rPr>
          <w:bCs/>
        </w:rPr>
      </w:pPr>
      <w:r>
        <w:rPr>
          <w:bCs/>
        </w:rPr>
        <w:t>Подрядчик обязан своими силами и за свой счет устранить недостатки,</w:t>
      </w:r>
      <w:r>
        <w:rPr/>
        <w:t xml:space="preserve"> </w:t>
      </w:r>
      <w:r>
        <w:rPr>
          <w:bCs/>
        </w:rPr>
        <w:t xml:space="preserve">несоответствия и / или дефекты, обнаруженные Заказчиком в течение Гарантийного срока, в срок, указанный в </w:t>
      </w:r>
      <w:bookmarkStart w:id="28" w:name="OLE_LINK6"/>
      <w:bookmarkStart w:id="29" w:name="OLE_LINK5"/>
      <w:r>
        <w:rPr>
          <w:bCs/>
        </w:rPr>
        <w:t>Акте о недостатках, составленном в порядке, установленном пунктом 8.5 Договора</w:t>
      </w:r>
      <w:bookmarkEnd w:id="28"/>
      <w:bookmarkEnd w:id="29"/>
      <w:r>
        <w:rPr>
          <w:bCs/>
        </w:rPr>
        <w:t>.</w:t>
      </w:r>
      <w:r>
        <w:rPr/>
        <w:t xml:space="preserve"> </w:t>
      </w:r>
    </w:p>
    <w:p>
      <w:pPr>
        <w:pStyle w:val="ListParagraph"/>
        <w:numPr>
          <w:ilvl w:val="1"/>
          <w:numId w:val="3"/>
        </w:numPr>
        <w:tabs>
          <w:tab w:val="clear" w:pos="708"/>
          <w:tab w:val="left" w:pos="1134" w:leader="none"/>
        </w:tabs>
        <w:ind w:firstLine="709" w:left="0"/>
        <w:jc w:val="both"/>
        <w:rPr>
          <w:bCs/>
        </w:rPr>
      </w:pPr>
      <w:r>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 в течение 10 (десяти) рабочих дней с даты получения соответствующего письменного требования Заказчика. </w:t>
      </w:r>
    </w:p>
    <w:p>
      <w:pPr>
        <w:pStyle w:val="ListParagraph"/>
        <w:numPr>
          <w:ilvl w:val="1"/>
          <w:numId w:val="3"/>
        </w:numPr>
        <w:tabs>
          <w:tab w:val="clear" w:pos="708"/>
          <w:tab w:val="left" w:pos="1134" w:leader="none"/>
        </w:tabs>
        <w:ind w:firstLine="709" w:left="0"/>
        <w:jc w:val="both"/>
        <w:rPr>
          <w:bCs/>
        </w:rPr>
      </w:pPr>
      <w:r>
        <w:rPr>
          <w:bCs/>
        </w:rPr>
        <w:t>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8.1 Договора, и начинает исчисляться заново с даты приемки Заказчиком работ по устранению недостатков.</w:t>
      </w:r>
    </w:p>
    <w:p>
      <w:pPr>
        <w:pStyle w:val="ListParagraph"/>
        <w:numPr>
          <w:ilvl w:val="1"/>
          <w:numId w:val="3"/>
        </w:numPr>
        <w:tabs>
          <w:tab w:val="clear" w:pos="708"/>
          <w:tab w:val="left" w:pos="1134" w:leader="none"/>
        </w:tabs>
        <w:ind w:firstLine="709" w:left="0"/>
        <w:jc w:val="both"/>
        <w:rPr/>
      </w:pPr>
      <w:r>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8.5 Договора, не освобождает Подрядчика от обязанности возмещения убытков, причиненных Заказчику вследствие наличия таких недостатков. </w:t>
      </w:r>
    </w:p>
    <w:p>
      <w:pPr>
        <w:pStyle w:val="Normal"/>
        <w:tabs>
          <w:tab w:val="clear" w:pos="708"/>
          <w:tab w:val="left" w:pos="566" w:leader="none"/>
        </w:tabs>
        <w:spacing w:lineRule="auto" w:line="240"/>
        <w:ind w:hanging="0"/>
        <w:rPr>
          <w:sz w:val="24"/>
          <w:szCs w:val="24"/>
        </w:rPr>
      </w:pPr>
      <w:r>
        <w:rPr>
          <w:sz w:val="24"/>
          <w:szCs w:val="24"/>
        </w:rPr>
      </w:r>
    </w:p>
    <w:p>
      <w:pPr>
        <w:pStyle w:val="ListParagraph"/>
        <w:numPr>
          <w:ilvl w:val="0"/>
          <w:numId w:val="3"/>
        </w:numPr>
        <w:tabs>
          <w:tab w:val="clear" w:pos="708"/>
          <w:tab w:val="left" w:pos="426" w:leader="none"/>
        </w:tabs>
        <w:ind w:hanging="0" w:left="0"/>
        <w:jc w:val="center"/>
        <w:rPr>
          <w:b/>
          <w:bCs/>
        </w:rPr>
      </w:pPr>
      <w:r>
        <w:rPr>
          <w:b/>
          <w:bCs/>
        </w:rPr>
        <w:t>Исключительные права и патенты</w:t>
      </w:r>
    </w:p>
    <w:p>
      <w:pPr>
        <w:pStyle w:val="Normal"/>
        <w:tabs>
          <w:tab w:val="clear" w:pos="708"/>
          <w:tab w:val="left" w:pos="1134" w:leader="none"/>
        </w:tabs>
        <w:spacing w:lineRule="auto" w:line="240"/>
        <w:ind w:hanging="0" w:left="709"/>
        <w:jc w:val="both"/>
        <w:rPr>
          <w:sz w:val="24"/>
          <w:szCs w:val="24"/>
        </w:rPr>
      </w:pPr>
      <w:r>
        <w:rPr>
          <w:bCs/>
          <w:sz w:val="24"/>
          <w:szCs w:val="24"/>
        </w:rPr>
        <w:t xml:space="preserve">9.1.  </w:t>
      </w:r>
      <w:r>
        <w:rPr>
          <w:bCs/>
          <w:sz w:val="24"/>
          <w:szCs w:val="24"/>
          <w:highlight w:val="white"/>
        </w:rPr>
        <w:t xml:space="preserve"> Подрядчик  </w:t>
      </w:r>
      <w:r>
        <w:rPr>
          <w:bCs/>
          <w:sz w:val="24"/>
          <w:szCs w:val="24"/>
        </w:rPr>
        <w:t xml:space="preserve">гарантирует,  что выполнение Работ, предусмотренных Договором, а </w:t>
      </w:r>
    </w:p>
    <w:p>
      <w:pPr>
        <w:pStyle w:val="Normal"/>
        <w:tabs>
          <w:tab w:val="clear" w:pos="708"/>
          <w:tab w:val="left" w:pos="1134" w:leader="none"/>
        </w:tabs>
        <w:spacing w:lineRule="auto" w:line="240"/>
        <w:ind w:hanging="0" w:left="0"/>
        <w:jc w:val="both"/>
        <w:rPr>
          <w:sz w:val="24"/>
          <w:szCs w:val="24"/>
        </w:rPr>
      </w:pPr>
      <w:r>
        <w:rPr>
          <w:bCs/>
          <w:sz w:val="24"/>
          <w:szCs w:val="24"/>
        </w:rPr>
        <w:t>также передача Заказчику Результата работ не нарушит исключительных и иных интеллектуальных прав третьих лиц</w:t>
      </w:r>
      <w:r>
        <w:rPr>
          <w:sz w:val="24"/>
          <w:szCs w:val="24"/>
        </w:rPr>
        <w:t xml:space="preserve"> </w:t>
      </w:r>
      <w:r>
        <w:rPr>
          <w:bCs/>
          <w:sz w:val="24"/>
          <w:szCs w:val="24"/>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pPr>
        <w:pStyle w:val="ListParagraph"/>
        <w:numPr>
          <w:ilvl w:val="1"/>
          <w:numId w:val="3"/>
        </w:numPr>
        <w:tabs>
          <w:tab w:val="clear" w:pos="708"/>
          <w:tab w:val="left" w:pos="1134" w:leader="none"/>
        </w:tabs>
        <w:ind w:firstLine="709" w:left="0"/>
        <w:jc w:val="both"/>
        <w:rPr>
          <w:bCs/>
        </w:rPr>
      </w:pPr>
      <w:r>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pPr>
        <w:pStyle w:val="ListParagraph"/>
        <w:numPr>
          <w:ilvl w:val="1"/>
          <w:numId w:val="3"/>
        </w:numPr>
        <w:tabs>
          <w:tab w:val="clear" w:pos="708"/>
          <w:tab w:val="left" w:pos="1134" w:leader="none"/>
        </w:tabs>
        <w:ind w:firstLine="709" w:left="0"/>
        <w:jc w:val="both"/>
        <w:rPr>
          <w:bCs/>
        </w:rPr>
      </w:pPr>
      <w:r>
        <w:rPr>
          <w:bCs/>
        </w:rPr>
        <w:t xml:space="preserve">В состав Результата работ по Договору считаются включенными все разрешения (лицензии), необходимые для эксплуатации Заказчиком Результата работ в течение всего установленного срока эксплуатации, его технического обслуживания и ремонта, а также реконструкции и / или модернизации. </w:t>
      </w:r>
    </w:p>
    <w:p>
      <w:pPr>
        <w:pStyle w:val="ListParagraph"/>
        <w:numPr>
          <w:ilvl w:val="1"/>
          <w:numId w:val="3"/>
        </w:numPr>
        <w:tabs>
          <w:tab w:val="clear" w:pos="708"/>
          <w:tab w:val="left" w:pos="1134" w:leader="none"/>
        </w:tabs>
        <w:ind w:firstLine="709" w:left="0"/>
        <w:jc w:val="both"/>
        <w:rPr>
          <w:bCs/>
        </w:rPr>
      </w:pPr>
      <w:r>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pPr>
        <w:pStyle w:val="ListParagraph"/>
        <w:numPr>
          <w:ilvl w:val="1"/>
          <w:numId w:val="3"/>
        </w:numPr>
        <w:tabs>
          <w:tab w:val="clear" w:pos="708"/>
          <w:tab w:val="left" w:pos="1134" w:leader="none"/>
        </w:tabs>
        <w:ind w:firstLine="709" w:left="0"/>
        <w:jc w:val="both"/>
        <w:rPr>
          <w:bCs/>
        </w:rPr>
      </w:pPr>
      <w:r>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pPr>
        <w:pStyle w:val="ListParagraph"/>
        <w:tabs>
          <w:tab w:val="clear" w:pos="708"/>
          <w:tab w:val="left" w:pos="1134" w:leader="none"/>
        </w:tabs>
        <w:ind w:firstLine="709" w:left="0"/>
        <w:jc w:val="both"/>
        <w:rPr>
          <w:bCs/>
        </w:rPr>
      </w:pPr>
      <w:r>
        <w:rPr>
          <w:bCs/>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Pr/>
        <w:t xml:space="preserve"> </w:t>
      </w:r>
      <w:r>
        <w:rPr>
          <w:bCs/>
        </w:rPr>
        <w:t>интеллектуальной деятельности на срок, не меньше срока эксплуатации Результата работ, и в том объеме (пределах), который требуется для эксплуатации,</w:t>
      </w:r>
      <w:r>
        <w:rPr/>
        <w:t xml:space="preserve"> </w:t>
      </w:r>
      <w:r>
        <w:rPr>
          <w:bCs/>
        </w:rPr>
        <w:t xml:space="preserve">технического обслуживания и ремонта, а также реконструкции и / или модернизации Результата работ. При этом Стороны признают, что плата за использование прав на результаты интеллектуальной деятельности входит в Цену Договора. </w:t>
      </w:r>
    </w:p>
    <w:p>
      <w:pPr>
        <w:pStyle w:val="ListParagraph"/>
        <w:numPr>
          <w:ilvl w:val="1"/>
          <w:numId w:val="3"/>
        </w:numPr>
        <w:tabs>
          <w:tab w:val="clear" w:pos="708"/>
          <w:tab w:val="left" w:pos="1134" w:leader="none"/>
        </w:tabs>
        <w:ind w:firstLine="709" w:left="0"/>
        <w:jc w:val="both"/>
        <w:rPr>
          <w:bCs/>
        </w:rPr>
      </w:pPr>
      <w:r>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pPr>
        <w:pStyle w:val="ListParagraph"/>
        <w:numPr>
          <w:ilvl w:val="1"/>
          <w:numId w:val="3"/>
        </w:numPr>
        <w:tabs>
          <w:tab w:val="clear" w:pos="708"/>
          <w:tab w:val="left" w:pos="1134" w:leader="none"/>
        </w:tabs>
        <w:ind w:firstLine="709" w:left="0"/>
        <w:jc w:val="both"/>
        <w:rPr>
          <w:bCs/>
        </w:rPr>
      </w:pPr>
      <w:r>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pPr>
        <w:pStyle w:val="ListParagraph"/>
        <w:tabs>
          <w:tab w:val="clear" w:pos="708"/>
          <w:tab w:val="left" w:pos="1134" w:leader="none"/>
        </w:tabs>
        <w:ind w:hanging="0" w:left="0"/>
        <w:jc w:val="both"/>
        <w:rPr>
          <w:bCs/>
        </w:rPr>
      </w:pPr>
      <w:r>
        <w:rPr>
          <w:bCs/>
        </w:rPr>
      </w:r>
    </w:p>
    <w:p>
      <w:pPr>
        <w:pStyle w:val="ListParagraph"/>
        <w:numPr>
          <w:ilvl w:val="0"/>
          <w:numId w:val="3"/>
        </w:numPr>
        <w:tabs>
          <w:tab w:val="clear" w:pos="708"/>
          <w:tab w:val="left" w:pos="426" w:leader="none"/>
        </w:tabs>
        <w:ind w:hanging="0" w:left="0"/>
        <w:jc w:val="center"/>
        <w:rPr>
          <w:b/>
          <w:bCs/>
        </w:rPr>
      </w:pPr>
      <w:r>
        <w:rPr>
          <w:b/>
          <w:bCs/>
        </w:rPr>
        <w:t>Конфиденциальность</w:t>
      </w:r>
    </w:p>
    <w:p>
      <w:pPr>
        <w:pStyle w:val="Normal"/>
        <w:tabs>
          <w:tab w:val="clear" w:pos="708"/>
          <w:tab w:val="left" w:pos="1134" w:leader="none"/>
        </w:tabs>
        <w:spacing w:lineRule="auto" w:line="240"/>
        <w:ind w:hanging="0" w:left="709"/>
        <w:jc w:val="both"/>
        <w:rPr>
          <w:sz w:val="24"/>
          <w:szCs w:val="24"/>
        </w:rPr>
      </w:pPr>
      <w:r>
        <w:rPr>
          <w:bCs/>
          <w:sz w:val="24"/>
          <w:szCs w:val="24"/>
        </w:rPr>
        <w:t xml:space="preserve">10.1.    Под    конфиденциальной   информацией  (далее – «Информация»)   для   целей </w:t>
      </w:r>
    </w:p>
    <w:p>
      <w:pPr>
        <w:pStyle w:val="Normal"/>
        <w:tabs>
          <w:tab w:val="clear" w:pos="708"/>
          <w:tab w:val="left" w:pos="1134" w:leader="none"/>
        </w:tabs>
        <w:spacing w:lineRule="auto" w:line="240"/>
        <w:ind w:hanging="0" w:left="0"/>
        <w:jc w:val="both"/>
        <w:rPr/>
      </w:pPr>
      <w:r>
        <w:rPr>
          <w:bCs/>
          <w:sz w:val="24"/>
          <w:szCs w:val="24"/>
        </w:rPr>
        <w:t>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w:t>
      </w:r>
      <w:r>
        <w:rPr>
          <w:bCs/>
        </w:rPr>
        <w:t>вия:</w:t>
      </w:r>
    </w:p>
    <w:p>
      <w:pPr>
        <w:pStyle w:val="Normal"/>
        <w:numPr>
          <w:ilvl w:val="0"/>
          <w:numId w:val="5"/>
        </w:numPr>
        <w:tabs>
          <w:tab w:val="clear" w:pos="708"/>
          <w:tab w:val="left" w:pos="709" w:leader="none"/>
          <w:tab w:val="left" w:pos="1418" w:leader="none"/>
        </w:tabs>
        <w:spacing w:lineRule="auto" w:line="240"/>
        <w:ind w:firstLine="709" w:left="0"/>
        <w:rPr>
          <w:bCs/>
          <w:sz w:val="24"/>
          <w:szCs w:val="24"/>
        </w:rPr>
      </w:pPr>
      <w:r>
        <w:rPr>
          <w:bCs/>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Pr>
          <w:sz w:val="24"/>
          <w:szCs w:val="24"/>
        </w:rPr>
        <w:t xml:space="preserve">м, в том числе по причине </w:t>
      </w:r>
      <w:r>
        <w:rPr>
          <w:bCs/>
          <w:sz w:val="24"/>
          <w:szCs w:val="24"/>
        </w:rPr>
        <w:t>введения в отношении нее режима Коммерческой тайны;</w:t>
      </w:r>
    </w:p>
    <w:p>
      <w:pPr>
        <w:pStyle w:val="Normal"/>
        <w:numPr>
          <w:ilvl w:val="0"/>
          <w:numId w:val="5"/>
        </w:numPr>
        <w:tabs>
          <w:tab w:val="clear" w:pos="708"/>
          <w:tab w:val="left" w:pos="709" w:leader="none"/>
          <w:tab w:val="left" w:pos="1418" w:leader="none"/>
        </w:tabs>
        <w:spacing w:lineRule="auto" w:line="240"/>
        <w:ind w:firstLine="709" w:left="0"/>
        <w:rPr>
          <w:bCs/>
          <w:sz w:val="24"/>
          <w:szCs w:val="24"/>
        </w:rPr>
      </w:pPr>
      <w:r>
        <w:rPr>
          <w:bCs/>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pPr>
        <w:pStyle w:val="ListParagraph"/>
        <w:numPr>
          <w:ilvl w:val="1"/>
          <w:numId w:val="3"/>
        </w:numPr>
        <w:tabs>
          <w:tab w:val="clear" w:pos="708"/>
          <w:tab w:val="left" w:pos="1134" w:leader="none"/>
        </w:tabs>
        <w:ind w:firstLine="709" w:left="0"/>
        <w:jc w:val="both"/>
        <w:rPr>
          <w:bCs/>
        </w:rPr>
      </w:pPr>
      <w:r>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pPr>
        <w:pStyle w:val="ListParagraph"/>
        <w:numPr>
          <w:ilvl w:val="1"/>
          <w:numId w:val="3"/>
        </w:numPr>
        <w:tabs>
          <w:tab w:val="clear" w:pos="708"/>
          <w:tab w:val="left" w:pos="1134" w:leader="none"/>
        </w:tabs>
        <w:ind w:firstLine="709" w:left="0"/>
        <w:jc w:val="both"/>
        <w:rPr>
          <w:bCs/>
        </w:rPr>
      </w:pPr>
      <w:r>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pPr>
        <w:pStyle w:val="ListParagraph"/>
        <w:numPr>
          <w:ilvl w:val="1"/>
          <w:numId w:val="3"/>
        </w:numPr>
        <w:tabs>
          <w:tab w:val="clear" w:pos="708"/>
          <w:tab w:val="left" w:pos="1134" w:leader="none"/>
        </w:tabs>
        <w:ind w:firstLine="709" w:left="0"/>
        <w:jc w:val="both"/>
        <w:rPr>
          <w:bCs/>
        </w:rPr>
      </w:pPr>
      <w:r>
        <w:rPr>
          <w:bCs/>
        </w:rPr>
        <w:t>На документ, содержащий Информацию, Заказчиком может быть нанесен гриф «Коммерческая тайна» с указанием обладателя этой информации.</w:t>
      </w:r>
    </w:p>
    <w:p>
      <w:pPr>
        <w:pStyle w:val="ListParagraph"/>
        <w:numPr>
          <w:ilvl w:val="1"/>
          <w:numId w:val="3"/>
        </w:numPr>
        <w:tabs>
          <w:tab w:val="clear" w:pos="708"/>
          <w:tab w:val="left" w:pos="1134" w:leader="none"/>
        </w:tabs>
        <w:ind w:firstLine="709" w:left="0"/>
        <w:jc w:val="both"/>
        <w:rPr>
          <w:bCs/>
        </w:rPr>
      </w:pPr>
      <w:r>
        <w:rPr>
          <w:bCs/>
        </w:rPr>
        <w:t>Информация может включать в себя, в том числе, но не ограничиваясь:</w:t>
      </w:r>
    </w:p>
    <w:p>
      <w:pPr>
        <w:pStyle w:val="Normal"/>
        <w:numPr>
          <w:ilvl w:val="0"/>
          <w:numId w:val="5"/>
        </w:numPr>
        <w:tabs>
          <w:tab w:val="clear" w:pos="708"/>
          <w:tab w:val="left" w:pos="1418" w:leader="none"/>
        </w:tabs>
        <w:spacing w:lineRule="auto" w:line="240"/>
        <w:ind w:firstLine="709" w:left="0"/>
        <w:rPr>
          <w:bCs/>
          <w:sz w:val="24"/>
          <w:szCs w:val="24"/>
        </w:rPr>
      </w:pPr>
      <w:r>
        <w:rPr>
          <w:bCs/>
          <w:sz w:val="24"/>
          <w:szCs w:val="24"/>
        </w:rPr>
        <w:t xml:space="preserve">финансовую </w:t>
      </w:r>
      <w:r>
        <w:rPr>
          <w:bCs/>
          <w:sz w:val="24"/>
          <w:szCs w:val="24"/>
          <w:lang w:val="en-US"/>
        </w:rPr>
        <w:t>(</w:t>
      </w:r>
      <w:r>
        <w:rPr>
          <w:bCs/>
          <w:sz w:val="24"/>
          <w:szCs w:val="24"/>
        </w:rPr>
        <w:t>бухгалтерскую) отчетность;</w:t>
      </w:r>
    </w:p>
    <w:p>
      <w:pPr>
        <w:pStyle w:val="Normal"/>
        <w:numPr>
          <w:ilvl w:val="0"/>
          <w:numId w:val="5"/>
        </w:numPr>
        <w:tabs>
          <w:tab w:val="clear" w:pos="708"/>
          <w:tab w:val="left" w:pos="1418" w:leader="none"/>
        </w:tabs>
        <w:spacing w:lineRule="auto" w:line="240"/>
        <w:ind w:firstLine="709" w:left="0"/>
        <w:rPr>
          <w:bCs/>
          <w:sz w:val="24"/>
          <w:szCs w:val="24"/>
        </w:rPr>
      </w:pPr>
      <w:r>
        <w:rPr>
          <w:bCs/>
          <w:sz w:val="24"/>
          <w:szCs w:val="24"/>
        </w:rPr>
        <w:t>учетные регистры бухгалтерского учета;</w:t>
      </w:r>
    </w:p>
    <w:p>
      <w:pPr>
        <w:pStyle w:val="Normal"/>
        <w:numPr>
          <w:ilvl w:val="0"/>
          <w:numId w:val="5"/>
        </w:numPr>
        <w:tabs>
          <w:tab w:val="clear" w:pos="708"/>
          <w:tab w:val="left" w:pos="1418" w:leader="none"/>
        </w:tabs>
        <w:spacing w:lineRule="auto" w:line="240"/>
        <w:ind w:firstLine="709" w:left="0"/>
        <w:rPr>
          <w:bCs/>
          <w:sz w:val="24"/>
          <w:szCs w:val="24"/>
        </w:rPr>
      </w:pPr>
      <w:r>
        <w:rPr>
          <w:bCs/>
          <w:sz w:val="24"/>
          <w:szCs w:val="24"/>
        </w:rPr>
        <w:t>бизнес-планы;</w:t>
      </w:r>
    </w:p>
    <w:p>
      <w:pPr>
        <w:pStyle w:val="Normal"/>
        <w:numPr>
          <w:ilvl w:val="0"/>
          <w:numId w:val="5"/>
        </w:numPr>
        <w:tabs>
          <w:tab w:val="clear" w:pos="708"/>
          <w:tab w:val="left" w:pos="1418" w:leader="none"/>
        </w:tabs>
        <w:spacing w:lineRule="auto" w:line="240"/>
        <w:ind w:firstLine="709" w:left="0"/>
        <w:rPr>
          <w:bCs/>
          <w:sz w:val="24"/>
          <w:szCs w:val="24"/>
        </w:rPr>
      </w:pPr>
      <w:r>
        <w:rPr>
          <w:bCs/>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pPr>
        <w:pStyle w:val="Normal"/>
        <w:numPr>
          <w:ilvl w:val="0"/>
          <w:numId w:val="5"/>
        </w:numPr>
        <w:tabs>
          <w:tab w:val="clear" w:pos="708"/>
          <w:tab w:val="left" w:pos="1418" w:leader="none"/>
        </w:tabs>
        <w:spacing w:lineRule="auto" w:line="240"/>
        <w:ind w:firstLine="709" w:left="0"/>
        <w:rPr>
          <w:bCs/>
          <w:sz w:val="24"/>
          <w:szCs w:val="24"/>
        </w:rPr>
      </w:pPr>
      <w:r>
        <w:rPr>
          <w:bCs/>
          <w:sz w:val="24"/>
          <w:szCs w:val="24"/>
        </w:rPr>
        <w:t>сведения о финансовых, правовых, организационных и других взаимоотношениях между Заказчиком и третьими лицами;</w:t>
      </w:r>
    </w:p>
    <w:p>
      <w:pPr>
        <w:pStyle w:val="Normal"/>
        <w:numPr>
          <w:ilvl w:val="0"/>
          <w:numId w:val="5"/>
        </w:numPr>
        <w:tabs>
          <w:tab w:val="clear" w:pos="708"/>
          <w:tab w:val="left" w:pos="1418" w:leader="none"/>
        </w:tabs>
        <w:spacing w:lineRule="auto" w:line="240"/>
        <w:ind w:firstLine="709" w:left="0"/>
        <w:rPr>
          <w:bCs/>
          <w:sz w:val="24"/>
          <w:szCs w:val="24"/>
        </w:rPr>
      </w:pPr>
      <w:r>
        <w:rPr>
          <w:bCs/>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pPr>
        <w:pStyle w:val="Normal"/>
        <w:numPr>
          <w:ilvl w:val="0"/>
          <w:numId w:val="5"/>
        </w:numPr>
        <w:tabs>
          <w:tab w:val="clear" w:pos="708"/>
          <w:tab w:val="left" w:pos="1418" w:leader="none"/>
        </w:tabs>
        <w:spacing w:lineRule="auto" w:line="240"/>
        <w:ind w:firstLine="709" w:left="0"/>
        <w:rPr>
          <w:bCs/>
          <w:sz w:val="24"/>
          <w:szCs w:val="24"/>
        </w:rPr>
      </w:pPr>
      <w:r>
        <w:rPr>
          <w:bCs/>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pPr>
        <w:pStyle w:val="Normal"/>
        <w:numPr>
          <w:ilvl w:val="0"/>
          <w:numId w:val="5"/>
        </w:numPr>
        <w:tabs>
          <w:tab w:val="clear" w:pos="708"/>
          <w:tab w:val="left" w:pos="1418" w:leader="none"/>
        </w:tabs>
        <w:spacing w:lineRule="auto" w:line="240"/>
        <w:ind w:firstLine="709" w:left="0"/>
        <w:rPr>
          <w:bCs/>
          <w:sz w:val="24"/>
          <w:szCs w:val="24"/>
        </w:rPr>
      </w:pPr>
      <w:r>
        <w:rPr>
          <w:bCs/>
          <w:sz w:val="24"/>
          <w:szCs w:val="24"/>
        </w:rPr>
        <w:t>сведения об объемах производства и / или реализации продукции и услуг Заказчика или его аффилированных лиц;</w:t>
      </w:r>
    </w:p>
    <w:p>
      <w:pPr>
        <w:pStyle w:val="Normal"/>
        <w:numPr>
          <w:ilvl w:val="0"/>
          <w:numId w:val="5"/>
        </w:numPr>
        <w:tabs>
          <w:tab w:val="clear" w:pos="708"/>
          <w:tab w:val="left" w:pos="1418" w:leader="none"/>
        </w:tabs>
        <w:spacing w:lineRule="auto" w:line="240"/>
        <w:ind w:firstLine="709" w:left="0"/>
        <w:rPr>
          <w:bCs/>
          <w:sz w:val="24"/>
          <w:szCs w:val="24"/>
        </w:rPr>
      </w:pPr>
      <w:r>
        <w:rPr>
          <w:bCs/>
          <w:sz w:val="24"/>
          <w:szCs w:val="24"/>
        </w:rPr>
        <w:t>материалы обобщения, анализа, оценки, иных действий по обработке вышеуказанной Информации и документов.</w:t>
      </w:r>
    </w:p>
    <w:p>
      <w:pPr>
        <w:pStyle w:val="ListParagraph"/>
        <w:numPr>
          <w:ilvl w:val="1"/>
          <w:numId w:val="3"/>
        </w:numPr>
        <w:tabs>
          <w:tab w:val="clear" w:pos="708"/>
          <w:tab w:val="left" w:pos="1134" w:leader="none"/>
        </w:tabs>
        <w:ind w:firstLine="709" w:left="0"/>
        <w:jc w:val="both"/>
        <w:rPr>
          <w:bCs/>
        </w:rPr>
      </w:pPr>
      <w:bookmarkStart w:id="30" w:name="_Ref361337849"/>
      <w:r>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Pr/>
        <w:t xml:space="preserve"> </w:t>
      </w:r>
      <w:r>
        <w:rPr>
          <w:bCs/>
        </w:rPr>
        <w:t>(расторжения) или исполнения, в том числе:</w:t>
      </w:r>
      <w:bookmarkEnd w:id="30"/>
      <w:r>
        <w:rPr>
          <w:bCs/>
        </w:rPr>
        <w:t xml:space="preserve"> </w:t>
      </w:r>
    </w:p>
    <w:p>
      <w:pPr>
        <w:pStyle w:val="ListParagraph"/>
        <w:numPr>
          <w:ilvl w:val="2"/>
          <w:numId w:val="3"/>
        </w:numPr>
        <w:tabs>
          <w:tab w:val="clear" w:pos="708"/>
          <w:tab w:val="left" w:pos="1701" w:leader="none"/>
        </w:tabs>
        <w:ind w:firstLine="709" w:left="0"/>
        <w:jc w:val="both"/>
        <w:rPr>
          <w:bCs/>
        </w:rPr>
      </w:pPr>
      <w:r>
        <w:rPr>
          <w:bCs/>
        </w:rPr>
        <w:t>- 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10.6.7 Договора;</w:t>
      </w:r>
    </w:p>
    <w:p>
      <w:pPr>
        <w:pStyle w:val="ListParagraph"/>
        <w:numPr>
          <w:ilvl w:val="2"/>
          <w:numId w:val="3"/>
        </w:numPr>
        <w:tabs>
          <w:tab w:val="clear" w:pos="708"/>
          <w:tab w:val="left" w:pos="1701" w:leader="none"/>
        </w:tabs>
        <w:ind w:firstLine="709" w:left="0"/>
        <w:jc w:val="both"/>
        <w:rPr>
          <w:bCs/>
        </w:rPr>
      </w:pPr>
      <w:r>
        <w:rPr>
          <w:bCs/>
        </w:rPr>
        <w:t>- 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pPr>
        <w:pStyle w:val="ListParagraph"/>
        <w:numPr>
          <w:ilvl w:val="2"/>
          <w:numId w:val="3"/>
        </w:numPr>
        <w:tabs>
          <w:tab w:val="clear" w:pos="708"/>
          <w:tab w:val="left" w:pos="1701" w:leader="none"/>
        </w:tabs>
        <w:ind w:firstLine="709" w:left="0"/>
        <w:jc w:val="both"/>
        <w:rPr>
          <w:bCs/>
        </w:rPr>
      </w:pPr>
      <w:r>
        <w:rPr>
          <w:bCs/>
        </w:rPr>
        <w:t xml:space="preserve">- использовать Информацию исключительно для целей, для которых она была предоставлена; </w:t>
      </w:r>
    </w:p>
    <w:p>
      <w:pPr>
        <w:pStyle w:val="ListParagraph"/>
        <w:numPr>
          <w:ilvl w:val="2"/>
          <w:numId w:val="3"/>
        </w:numPr>
        <w:tabs>
          <w:tab w:val="clear" w:pos="708"/>
          <w:tab w:val="left" w:pos="1701" w:leader="none"/>
        </w:tabs>
        <w:ind w:firstLine="709" w:left="0"/>
        <w:jc w:val="both"/>
        <w:rPr>
          <w:bCs/>
        </w:rPr>
      </w:pPr>
      <w:r>
        <w:rPr>
          <w:bCs/>
        </w:rPr>
        <w:t xml:space="preserve">- не осуществлять действий (бездействия), результатом которых может быть несанкционированное раскрытие Информации третьим лицам; </w:t>
      </w:r>
    </w:p>
    <w:p>
      <w:pPr>
        <w:pStyle w:val="ListParagraph"/>
        <w:numPr>
          <w:ilvl w:val="2"/>
          <w:numId w:val="3"/>
        </w:numPr>
        <w:tabs>
          <w:tab w:val="clear" w:pos="708"/>
          <w:tab w:val="left" w:pos="1701" w:leader="none"/>
        </w:tabs>
        <w:ind w:firstLine="709" w:left="0"/>
        <w:jc w:val="both"/>
        <w:rPr>
          <w:bCs/>
        </w:rPr>
      </w:pPr>
      <w:r>
        <w:rPr>
          <w:bCs/>
        </w:rPr>
        <w:t>- 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pPr>
        <w:pStyle w:val="ListParagraph"/>
        <w:numPr>
          <w:ilvl w:val="2"/>
          <w:numId w:val="3"/>
        </w:numPr>
        <w:tabs>
          <w:tab w:val="clear" w:pos="708"/>
          <w:tab w:val="left" w:pos="1701" w:leader="none"/>
        </w:tabs>
        <w:ind w:firstLine="709" w:left="0"/>
        <w:jc w:val="both"/>
        <w:rPr>
          <w:bCs/>
        </w:rPr>
      </w:pPr>
      <w:r>
        <w:rPr>
          <w:bCs/>
        </w:rPr>
        <w:t xml:space="preserve">- 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pPr>
        <w:pStyle w:val="ListParagraph"/>
        <w:numPr>
          <w:ilvl w:val="2"/>
          <w:numId w:val="3"/>
        </w:numPr>
        <w:tabs>
          <w:tab w:val="clear" w:pos="708"/>
          <w:tab w:val="left" w:pos="1701" w:leader="none"/>
        </w:tabs>
        <w:ind w:firstLine="709" w:left="0"/>
        <w:jc w:val="both"/>
        <w:rPr>
          <w:bCs/>
        </w:rPr>
      </w:pPr>
      <w:bookmarkStart w:id="31" w:name="_Ref361337832"/>
      <w:r>
        <w:rPr>
          <w:bCs/>
        </w:rPr>
        <w:t>- 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31"/>
    </w:p>
    <w:p>
      <w:pPr>
        <w:pStyle w:val="ListParagraph"/>
        <w:numPr>
          <w:ilvl w:val="2"/>
          <w:numId w:val="3"/>
        </w:numPr>
        <w:tabs>
          <w:tab w:val="clear" w:pos="708"/>
          <w:tab w:val="left" w:pos="1701" w:leader="none"/>
        </w:tabs>
        <w:ind w:firstLine="709" w:left="0"/>
        <w:jc w:val="both"/>
        <w:rPr>
          <w:bCs/>
        </w:rPr>
      </w:pPr>
      <w:r>
        <w:rPr>
          <w:bCs/>
        </w:rPr>
        <w:t>- не разглашать третьим лицам факты передачи или получения Информации.</w:t>
      </w:r>
    </w:p>
    <w:p>
      <w:pPr>
        <w:pStyle w:val="ListParagraph"/>
        <w:numPr>
          <w:ilvl w:val="1"/>
          <w:numId w:val="3"/>
        </w:numPr>
        <w:tabs>
          <w:tab w:val="clear" w:pos="708"/>
          <w:tab w:val="left" w:pos="1134" w:leader="none"/>
        </w:tabs>
        <w:ind w:firstLine="709" w:left="0"/>
        <w:jc w:val="both"/>
        <w:rPr>
          <w:bCs/>
        </w:rPr>
      </w:pPr>
      <w:bookmarkStart w:id="32" w:name="_Ref361337863"/>
      <w:r>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32"/>
    </w:p>
    <w:p>
      <w:pPr>
        <w:pStyle w:val="ListParagraph"/>
        <w:numPr>
          <w:ilvl w:val="1"/>
          <w:numId w:val="3"/>
        </w:numPr>
        <w:tabs>
          <w:tab w:val="clear" w:pos="708"/>
          <w:tab w:val="left" w:pos="1134" w:leader="none"/>
        </w:tabs>
        <w:ind w:firstLine="709" w:left="0"/>
        <w:jc w:val="both"/>
        <w:rPr>
          <w:bCs/>
        </w:rPr>
      </w:pPr>
      <w:r>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pPr>
        <w:pStyle w:val="ListParagraph"/>
        <w:numPr>
          <w:ilvl w:val="1"/>
          <w:numId w:val="3"/>
        </w:numPr>
        <w:tabs>
          <w:tab w:val="clear" w:pos="708"/>
          <w:tab w:val="left" w:pos="1134" w:leader="none"/>
        </w:tabs>
        <w:ind w:firstLine="709" w:left="0"/>
        <w:jc w:val="both"/>
        <w:rPr>
          <w:bCs/>
        </w:rPr>
      </w:pPr>
      <w:r>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pPr>
        <w:pStyle w:val="ListParagraph"/>
        <w:tabs>
          <w:tab w:val="clear" w:pos="708"/>
          <w:tab w:val="left" w:pos="284" w:leader="none"/>
        </w:tabs>
        <w:ind w:hanging="0" w:left="0"/>
        <w:rPr>
          <w:b/>
          <w:bCs/>
        </w:rPr>
      </w:pPr>
      <w:r>
        <w:rPr>
          <w:b/>
          <w:bCs/>
        </w:rPr>
      </w:r>
    </w:p>
    <w:p>
      <w:pPr>
        <w:pStyle w:val="ListParagraph"/>
        <w:numPr>
          <w:ilvl w:val="0"/>
          <w:numId w:val="3"/>
        </w:numPr>
        <w:tabs>
          <w:tab w:val="clear" w:pos="708"/>
          <w:tab w:val="left" w:pos="426" w:leader="none"/>
        </w:tabs>
        <w:ind w:hanging="0" w:left="0"/>
        <w:jc w:val="center"/>
        <w:rPr>
          <w:b/>
          <w:bCs/>
        </w:rPr>
      </w:pPr>
      <w:r>
        <w:rPr>
          <w:b/>
          <w:bCs/>
        </w:rPr>
        <w:t>Антикоррупционная оговорка</w:t>
      </w:r>
    </w:p>
    <w:p>
      <w:pPr>
        <w:pStyle w:val="ListParagraph"/>
        <w:shd w:val="clear" w:color="auto" w:fill="FFFFFF"/>
        <w:tabs>
          <w:tab w:val="clear" w:pos="708"/>
          <w:tab w:val="left" w:pos="993" w:leader="none"/>
        </w:tabs>
        <w:ind w:hanging="0" w:left="0"/>
        <w:jc w:val="both"/>
        <w:rPr>
          <w:bCs/>
          <w:color w:val="000000"/>
        </w:rPr>
      </w:pPr>
      <w:r>
        <w:rPr>
          <w:color w:val="000000"/>
        </w:rPr>
        <w:t xml:space="preserve">             </w:t>
      </w:r>
      <w:r>
        <w:rPr>
          <w:color w:val="000000"/>
        </w:rPr>
        <w:t xml:space="preserve">11.1. Стороны обязуются обеспечить, чтобы при исполнении обязательств, возникающих по или в связи с ним, их аффилированные лица, работники и/или представители не осуществляли, прямо или косвенно не </w:t>
      </w:r>
      <w:r>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и/или представителям другой Стороны, а также лицам, аффилированным по отношению к таким работникам и/или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pPr>
        <w:pStyle w:val="ListParagraph"/>
        <w:shd w:val="clear" w:color="auto" w:fill="FFFFFF"/>
        <w:tabs>
          <w:tab w:val="clear" w:pos="708"/>
          <w:tab w:val="left" w:pos="993" w:leader="none"/>
        </w:tabs>
        <w:ind w:firstLine="567" w:left="0"/>
        <w:jc w:val="both"/>
        <w:rPr>
          <w:bCs/>
          <w:color w:val="000000"/>
        </w:rPr>
      </w:pPr>
      <w:r>
        <w:rPr>
          <w:bCs/>
          <w:color w:val="000000"/>
        </w:rPr>
        <w:t xml:space="preserve">    </w:t>
      </w:r>
      <w:r>
        <w:rPr>
          <w:bCs/>
          <w:color w:val="000000"/>
        </w:rPr>
        <w:t>11.2. При исполнении своих обязательств по Договору, Стороны, их аффилированные лица, работники и/или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pPr>
        <w:pStyle w:val="ListParagraph"/>
        <w:shd w:val="clear" w:color="auto" w:fill="FFFFFF"/>
        <w:tabs>
          <w:tab w:val="clear" w:pos="708"/>
          <w:tab w:val="left" w:pos="993" w:leader="none"/>
        </w:tabs>
        <w:ind w:hanging="0" w:left="0"/>
        <w:jc w:val="both"/>
        <w:rPr>
          <w:bCs/>
          <w:color w:val="000000"/>
        </w:rPr>
      </w:pPr>
      <w:r>
        <w:rPr>
          <w:bCs/>
          <w:color w:val="000000"/>
        </w:rPr>
        <w:t xml:space="preserve">          </w:t>
      </w:r>
      <w:r>
        <w:rPr>
          <w:bCs/>
          <w:color w:val="000000"/>
        </w:rPr>
        <w:t>11.3.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pPr>
        <w:pStyle w:val="ListParagraph"/>
        <w:shd w:val="clear" w:color="auto" w:fill="FFFFFF"/>
        <w:tabs>
          <w:tab w:val="clear" w:pos="708"/>
          <w:tab w:val="left" w:pos="993" w:leader="none"/>
        </w:tabs>
        <w:ind w:hanging="0" w:left="0"/>
        <w:jc w:val="both"/>
        <w:rPr>
          <w:bCs/>
          <w:color w:val="000000"/>
        </w:rPr>
      </w:pPr>
      <w:r>
        <w:rPr>
          <w:bCs/>
          <w:color w:val="000000"/>
        </w:rPr>
        <w:t xml:space="preserve">         </w:t>
      </w:r>
      <w:r>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pPr>
        <w:pStyle w:val="ListParagraph"/>
        <w:shd w:val="clear" w:color="auto" w:fill="FFFFFF"/>
        <w:tabs>
          <w:tab w:val="clear" w:pos="708"/>
          <w:tab w:val="left" w:pos="993" w:leader="none"/>
        </w:tabs>
        <w:ind w:firstLine="567" w:left="0"/>
        <w:jc w:val="both"/>
        <w:rPr>
          <w:bCs/>
          <w:color w:val="000000"/>
        </w:rPr>
      </w:pPr>
      <w:r>
        <w:rPr>
          <w:bCs/>
          <w:color w:val="000000"/>
        </w:rPr>
        <w:t xml:space="preserve">11.4.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pPr>
        <w:pStyle w:val="ListParagraph"/>
        <w:shd w:val="clear" w:color="auto" w:fill="FFFFFF"/>
        <w:tabs>
          <w:tab w:val="clear" w:pos="708"/>
          <w:tab w:val="left" w:pos="993" w:leader="none"/>
        </w:tabs>
        <w:ind w:hanging="0" w:left="0"/>
        <w:jc w:val="both"/>
        <w:rPr>
          <w:bCs/>
          <w:color w:val="000000"/>
        </w:rPr>
      </w:pPr>
      <w:r>
        <w:rPr>
          <w:bCs/>
          <w:color w:val="000000"/>
        </w:rPr>
        <w:t xml:space="preserve">         </w:t>
      </w:r>
      <w:r>
        <w:rPr>
          <w:bCs/>
          <w:color w:val="000000"/>
        </w:rPr>
        <w:t xml:space="preserve">11.5.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отказаться от Договора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pPr>
        <w:pStyle w:val="ListParagraph"/>
        <w:widowControl w:val="false"/>
        <w:shd w:val="clear" w:color="auto" w:fill="FFFFFF"/>
        <w:tabs>
          <w:tab w:val="clear" w:pos="708"/>
          <w:tab w:val="left" w:pos="567" w:leader="none"/>
          <w:tab w:val="left" w:pos="993" w:leader="none"/>
        </w:tabs>
        <w:ind w:hanging="0" w:left="567"/>
        <w:jc w:val="both"/>
        <w:rPr>
          <w:color w:val="000000"/>
        </w:rPr>
      </w:pPr>
      <w:r>
        <w:rPr>
          <w:color w:val="000000"/>
        </w:rPr>
        <w:t xml:space="preserve">11.6.  Каналы связи Линия доверия Группы РусГидро: </w:t>
      </w:r>
    </w:p>
    <w:p>
      <w:pPr>
        <w:pStyle w:val="ListParagraph"/>
        <w:widowControl w:val="false"/>
        <w:shd w:val="clear" w:color="auto" w:fill="FFFFFF"/>
        <w:tabs>
          <w:tab w:val="clear" w:pos="708"/>
          <w:tab w:val="left" w:pos="567" w:leader="none"/>
          <w:tab w:val="left" w:pos="993" w:leader="none"/>
          <w:tab w:val="left" w:pos="1134" w:leader="none"/>
        </w:tabs>
        <w:ind w:hanging="0" w:left="567"/>
        <w:jc w:val="both"/>
        <w:rPr/>
      </w:pPr>
      <w:r>
        <w:rPr/>
        <w:t>11.6.1.  Электронная почта: ld@rushydro.ru;</w:t>
      </w:r>
    </w:p>
    <w:p>
      <w:pPr>
        <w:pStyle w:val="ListParagraph"/>
        <w:widowControl w:val="false"/>
        <w:shd w:val="clear" w:color="auto" w:fill="FFFFFF"/>
        <w:tabs>
          <w:tab w:val="clear" w:pos="708"/>
          <w:tab w:val="left" w:pos="567" w:leader="none"/>
          <w:tab w:val="left" w:pos="993" w:leader="none"/>
          <w:tab w:val="left" w:pos="1134" w:leader="none"/>
        </w:tabs>
        <w:ind w:hanging="0" w:left="567"/>
        <w:rPr/>
      </w:pPr>
      <w:r>
        <w:rPr/>
        <w:t xml:space="preserve">11.6.2. Специальная форма «обратной связи», размещенная на официальном сайте </w:t>
      </w:r>
    </w:p>
    <w:p>
      <w:pPr>
        <w:pStyle w:val="Normal"/>
        <w:widowControl w:val="false"/>
        <w:shd w:val="clear" w:color="auto" w:fill="FFFFFF"/>
        <w:tabs>
          <w:tab w:val="clear" w:pos="708"/>
          <w:tab w:val="left" w:pos="567" w:leader="none"/>
          <w:tab w:val="left" w:pos="993" w:leader="none"/>
          <w:tab w:val="left" w:pos="1134" w:leader="none"/>
        </w:tabs>
        <w:spacing w:lineRule="auto" w:line="240"/>
        <w:ind w:hanging="0"/>
        <w:rPr>
          <w:sz w:val="24"/>
          <w:szCs w:val="24"/>
        </w:rPr>
      </w:pPr>
      <w:r>
        <w:rPr>
          <w:sz w:val="24"/>
          <w:szCs w:val="24"/>
        </w:rPr>
        <w:t>ПАО «РусГидро»  в сети интернет: http://www.rushydro.ru/ (далее перейти по ссылке «Линия доверия» и заполнить поля специальной формы «обратной связи»);</w:t>
      </w:r>
    </w:p>
    <w:p>
      <w:pPr>
        <w:pStyle w:val="ListParagraph"/>
        <w:tabs>
          <w:tab w:val="clear" w:pos="708"/>
          <w:tab w:val="left" w:pos="993" w:leader="none"/>
          <w:tab w:val="left" w:pos="1134" w:leader="none"/>
        </w:tabs>
        <w:spacing w:lineRule="auto" w:line="240" w:before="0" w:after="160"/>
        <w:ind w:firstLine="567" w:left="0"/>
        <w:contextualSpacing/>
        <w:jc w:val="both"/>
        <w:rPr>
          <w:highlight w:val="none"/>
        </w:rPr>
      </w:pPr>
      <w:r>
        <w:rPr/>
        <w:t>11.6.3. Телефонный автоответчик (необходимо позвонить по телефону +7(495) 785-09-37 (круглосуточно), дождаться сигнала о начале записи и оставить устное обращение).</w:t>
      </w:r>
      <w:bookmarkStart w:id="33" w:name="_GoBack"/>
      <w:bookmarkEnd w:id="33"/>
    </w:p>
    <w:p>
      <w:pPr>
        <w:pStyle w:val="ListParagraph"/>
        <w:tabs>
          <w:tab w:val="clear" w:pos="708"/>
          <w:tab w:val="left" w:pos="993" w:leader="none"/>
          <w:tab w:val="left" w:pos="1134" w:leader="none"/>
        </w:tabs>
        <w:spacing w:lineRule="auto" w:line="240" w:before="0" w:afterAutospacing="0" w:after="0"/>
        <w:ind w:firstLine="567" w:left="0"/>
        <w:contextualSpacing/>
        <w:jc w:val="both"/>
        <w:rPr/>
      </w:pPr>
      <w:r>
        <w:rPr/>
      </w:r>
    </w:p>
    <w:p>
      <w:pPr>
        <w:pStyle w:val="ListParagraph"/>
        <w:numPr>
          <w:ilvl w:val="0"/>
          <w:numId w:val="3"/>
        </w:numPr>
        <w:tabs>
          <w:tab w:val="clear" w:pos="708"/>
          <w:tab w:val="left" w:pos="426" w:leader="none"/>
        </w:tabs>
        <w:ind w:hanging="0" w:left="0"/>
        <w:jc w:val="center"/>
        <w:rPr>
          <w:b/>
          <w:bCs/>
        </w:rPr>
      </w:pPr>
      <w:r>
        <w:rPr>
          <w:b/>
          <w:bCs/>
        </w:rPr>
        <w:t>Обстоятельства непреодолимой силы (форс-мажор)</w:t>
      </w:r>
    </w:p>
    <w:p>
      <w:pPr>
        <w:pStyle w:val="Normal"/>
        <w:tabs>
          <w:tab w:val="clear" w:pos="708"/>
          <w:tab w:val="left" w:pos="1134" w:leader="none"/>
        </w:tabs>
        <w:spacing w:lineRule="auto" w:line="240"/>
        <w:ind w:hanging="0" w:left="709"/>
        <w:jc w:val="both"/>
        <w:rPr>
          <w:sz w:val="24"/>
          <w:szCs w:val="24"/>
        </w:rPr>
      </w:pPr>
      <w:r>
        <w:rPr>
          <w:bCs/>
          <w:sz w:val="24"/>
          <w:szCs w:val="24"/>
        </w:rPr>
        <w:t xml:space="preserve">12.1. Стороны освобождаются от ответственности за неисполнение или ненадлежащее </w:t>
      </w:r>
    </w:p>
    <w:p>
      <w:pPr>
        <w:pStyle w:val="Normal"/>
        <w:tabs>
          <w:tab w:val="clear" w:pos="708"/>
          <w:tab w:val="left" w:pos="1134" w:leader="none"/>
        </w:tabs>
        <w:spacing w:lineRule="auto" w:line="240"/>
        <w:ind w:hanging="0" w:left="0"/>
        <w:jc w:val="both"/>
        <w:rPr>
          <w:sz w:val="24"/>
          <w:szCs w:val="24"/>
        </w:rPr>
      </w:pPr>
      <w:r>
        <w:rPr>
          <w:bCs/>
          <w:sz w:val="24"/>
          <w:szCs w:val="24"/>
        </w:rPr>
        <w:t>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военные действия, террористические акты, диверсии,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pPr>
        <w:pStyle w:val="ListParagraph"/>
        <w:numPr>
          <w:ilvl w:val="1"/>
          <w:numId w:val="3"/>
        </w:numPr>
        <w:tabs>
          <w:tab w:val="clear" w:pos="708"/>
          <w:tab w:val="left" w:pos="1134" w:leader="none"/>
        </w:tabs>
        <w:ind w:firstLine="709" w:left="0"/>
        <w:jc w:val="both"/>
        <w:rPr>
          <w:bCs/>
        </w:rPr>
      </w:pPr>
      <w:r>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pPr>
        <w:pStyle w:val="ListParagraph"/>
        <w:numPr>
          <w:ilvl w:val="1"/>
          <w:numId w:val="3"/>
        </w:numPr>
        <w:tabs>
          <w:tab w:val="clear" w:pos="708"/>
          <w:tab w:val="left" w:pos="1134" w:leader="none"/>
        </w:tabs>
        <w:ind w:firstLine="709" w:left="0"/>
        <w:jc w:val="both"/>
        <w:rPr>
          <w:bCs/>
        </w:rPr>
      </w:pPr>
      <w:r>
        <w:rPr>
          <w:bCs/>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 </w:t>
      </w:r>
    </w:p>
    <w:p>
      <w:pPr>
        <w:pStyle w:val="ListParagraph"/>
        <w:numPr>
          <w:ilvl w:val="1"/>
          <w:numId w:val="3"/>
        </w:numPr>
        <w:tabs>
          <w:tab w:val="clear" w:pos="708"/>
          <w:tab w:val="left" w:pos="1134" w:leader="none"/>
        </w:tabs>
        <w:ind w:firstLine="709" w:left="0"/>
        <w:jc w:val="both"/>
        <w:rPr>
          <w:bCs/>
        </w:rPr>
      </w:pPr>
      <w:r>
        <w:rPr>
          <w:bCs/>
        </w:rPr>
        <w:t>Надлежащим (достаточным) доказательством наличия/возникновения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pPr>
        <w:pStyle w:val="ListParagraph"/>
        <w:numPr>
          <w:ilvl w:val="1"/>
          <w:numId w:val="3"/>
        </w:numPr>
        <w:tabs>
          <w:tab w:val="clear" w:pos="708"/>
          <w:tab w:val="left" w:pos="1134" w:leader="none"/>
        </w:tabs>
        <w:ind w:firstLine="709" w:left="0"/>
        <w:jc w:val="both"/>
        <w:rPr>
          <w:bCs/>
        </w:rPr>
      </w:pPr>
      <w:r>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pPr>
        <w:pStyle w:val="ListParagraph"/>
        <w:numPr>
          <w:ilvl w:val="1"/>
          <w:numId w:val="3"/>
        </w:numPr>
        <w:tabs>
          <w:tab w:val="clear" w:pos="708"/>
          <w:tab w:val="left" w:pos="568" w:leader="none"/>
        </w:tabs>
        <w:ind w:firstLine="709" w:left="0"/>
        <w:jc w:val="both"/>
        <w:rPr>
          <w:bCs/>
        </w:rPr>
      </w:pPr>
      <w:r>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pPr>
        <w:pStyle w:val="ListParagraph"/>
        <w:tabs>
          <w:tab w:val="clear" w:pos="708"/>
          <w:tab w:val="left" w:pos="568" w:leader="none"/>
        </w:tabs>
        <w:ind w:firstLine="709" w:left="0"/>
        <w:jc w:val="both"/>
        <w:rPr>
          <w:bCs/>
        </w:rPr>
      </w:pPr>
      <w:r>
        <w:rPr>
          <w:bCs/>
        </w:rPr>
        <w:t>При этом любая из Сторон вправе отказаться от исполнения Договора в одностороннем внесудебном порядке.</w:t>
      </w:r>
    </w:p>
    <w:p>
      <w:pPr>
        <w:pStyle w:val="Normal"/>
        <w:spacing w:lineRule="auto" w:line="240"/>
        <w:ind w:hanging="0"/>
        <w:rPr>
          <w:sz w:val="24"/>
          <w:szCs w:val="24"/>
        </w:rPr>
      </w:pPr>
      <w:r>
        <w:rPr>
          <w:sz w:val="24"/>
          <w:szCs w:val="24"/>
        </w:rPr>
      </w:r>
    </w:p>
    <w:p>
      <w:pPr>
        <w:pStyle w:val="ListParagraph"/>
        <w:numPr>
          <w:ilvl w:val="0"/>
          <w:numId w:val="3"/>
        </w:numPr>
        <w:tabs>
          <w:tab w:val="clear" w:pos="708"/>
          <w:tab w:val="left" w:pos="426" w:leader="none"/>
        </w:tabs>
        <w:ind w:hanging="0" w:left="0"/>
        <w:jc w:val="center"/>
        <w:rPr>
          <w:b/>
          <w:bCs/>
          <w:highlight w:val="white"/>
        </w:rPr>
      </w:pPr>
      <w:r>
        <w:rPr>
          <w:b/>
          <w:bCs/>
          <w:highlight w:val="white"/>
        </w:rPr>
        <w:t>Особые положения</w:t>
      </w:r>
    </w:p>
    <w:p>
      <w:pPr>
        <w:pStyle w:val="Normal"/>
        <w:tabs>
          <w:tab w:val="clear" w:pos="708"/>
          <w:tab w:val="left" w:pos="1134" w:leader="none"/>
        </w:tabs>
        <w:spacing w:lineRule="auto" w:line="240"/>
        <w:ind w:hanging="0" w:left="709"/>
        <w:jc w:val="both"/>
        <w:rPr>
          <w:sz w:val="24"/>
          <w:szCs w:val="24"/>
        </w:rPr>
      </w:pPr>
      <w:bookmarkStart w:id="34" w:name="_Ref361337900"/>
      <w:r>
        <w:rPr>
          <w:bCs/>
          <w:sz w:val="24"/>
          <w:szCs w:val="24"/>
        </w:rPr>
        <w:t xml:space="preserve">13.1. Подрядчик обязуется не привлекать и не допускать привлечения к исполнению </w:t>
      </w:r>
    </w:p>
    <w:p>
      <w:pPr>
        <w:pStyle w:val="Normal"/>
        <w:tabs>
          <w:tab w:val="clear" w:pos="708"/>
          <w:tab w:val="left" w:pos="1134" w:leader="none"/>
        </w:tabs>
        <w:spacing w:lineRule="auto" w:line="240"/>
        <w:ind w:hanging="0" w:left="0"/>
        <w:jc w:val="both"/>
        <w:rPr>
          <w:sz w:val="24"/>
          <w:szCs w:val="24"/>
        </w:rPr>
      </w:pPr>
      <w:r>
        <w:rPr>
          <w:bCs/>
          <w:sz w:val="24"/>
          <w:szCs w:val="24"/>
        </w:rPr>
        <w:t>обязательств по Договору организации:</w:t>
      </w:r>
    </w:p>
    <w:p>
      <w:pPr>
        <w:pStyle w:val="ListParagraph"/>
        <w:numPr>
          <w:ilvl w:val="1"/>
          <w:numId w:val="13"/>
        </w:numPr>
        <w:tabs>
          <w:tab w:val="clear" w:pos="708"/>
          <w:tab w:val="left" w:pos="1134" w:leader="none"/>
        </w:tabs>
        <w:ind w:firstLine="709" w:left="0"/>
        <w:jc w:val="both"/>
        <w:rPr>
          <w:bCs/>
        </w:rPr>
      </w:pPr>
      <w:r>
        <w:rPr>
          <w:bCs/>
        </w:rPr>
        <w:t xml:space="preserve"> </w:t>
      </w:r>
      <w:r>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2" w:tgtFrame="consultantplus://offline/ref=94D5CE8889791A29DE57299515463A9D6134D8237B999C803E6F853513x2A2P">
        <w:r>
          <w:rPr>
            <w:rStyle w:val="ListLabel235"/>
            <w:bCs/>
          </w:rPr>
          <w:t>№ 18162/09</w:t>
        </w:r>
      </w:hyperlink>
      <w:r>
        <w:rPr>
          <w:bCs/>
        </w:rPr>
        <w:t xml:space="preserve"> и от 25.05.2010 </w:t>
      </w:r>
      <w:hyperlink r:id="rId3" w:tgtFrame="consultantplus://offline/ref=94D5CE8889791A29DE57299515463A9D6135D2287D929C803E6F853513x2A2P">
        <w:r>
          <w:rPr>
            <w:rStyle w:val="ListLabel235"/>
            <w:bCs/>
          </w:rPr>
          <w:t>№ 15658/09</w:t>
        </w:r>
      </w:hyperlink>
      <w:r>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pPr>
        <w:pStyle w:val="ListParagraph"/>
        <w:numPr>
          <w:ilvl w:val="1"/>
          <w:numId w:val="13"/>
        </w:numPr>
        <w:tabs>
          <w:tab w:val="clear" w:pos="708"/>
          <w:tab w:val="left" w:pos="1134" w:leader="none"/>
        </w:tabs>
        <w:ind w:firstLine="709" w:left="0"/>
        <w:jc w:val="both"/>
        <w:rPr>
          <w:bCs/>
        </w:rPr>
      </w:pPr>
      <w:r>
        <w:rPr>
          <w:bCs/>
        </w:rPr>
        <w:t xml:space="preserve">соответствующие </w:t>
      </w:r>
      <w:hyperlink r:id="rId4" w:tgtFrame="consultantplus://offline/ref=79440D5123ABA6A25F43346AB59DBAAC7032C8E1556DA64FAED62E167F76889C2B7C475C32EFC59BJ8rDH">
        <w:r>
          <w:rPr>
            <w:rStyle w:val="ListLabel235"/>
            <w:bCs/>
          </w:rPr>
          <w:t>Критери</w:t>
        </w:r>
      </w:hyperlink>
      <w:r>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4"/>
    </w:p>
    <w:p>
      <w:pPr>
        <w:pStyle w:val="ListParagraph"/>
        <w:numPr>
          <w:ilvl w:val="1"/>
          <w:numId w:val="3"/>
        </w:numPr>
        <w:tabs>
          <w:tab w:val="clear" w:pos="708"/>
          <w:tab w:val="left" w:pos="1134" w:leader="none"/>
        </w:tabs>
        <w:ind w:firstLine="709" w:left="0"/>
        <w:jc w:val="both"/>
        <w:rPr>
          <w:bCs/>
        </w:rPr>
      </w:pPr>
      <w:bookmarkStart w:id="35" w:name="_Ref361337921"/>
      <w:r>
        <w:rPr>
          <w:bCs/>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13.1 Договора, а также обеспечить прекращение участия таких организаций в исполнении Договора.</w:t>
      </w:r>
      <w:bookmarkEnd w:id="35"/>
    </w:p>
    <w:p>
      <w:pPr>
        <w:pStyle w:val="ListParagraph"/>
        <w:numPr>
          <w:ilvl w:val="1"/>
          <w:numId w:val="3"/>
        </w:numPr>
        <w:tabs>
          <w:tab w:val="clear" w:pos="708"/>
          <w:tab w:val="left" w:pos="1134" w:leader="none"/>
        </w:tabs>
        <w:ind w:firstLine="709" w:left="0"/>
        <w:jc w:val="both"/>
        <w:rPr>
          <w:bCs/>
        </w:rPr>
      </w:pPr>
      <w:bookmarkStart w:id="36" w:name="_Ref361337948"/>
      <w:r>
        <w:rPr>
          <w:bCs/>
        </w:rPr>
        <w:t>В случае нарушения Подрядчиком обязательств, установленных пунктами 13.1, 13.2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6"/>
    </w:p>
    <w:p>
      <w:pPr>
        <w:pStyle w:val="ListParagraph"/>
        <w:numPr>
          <w:ilvl w:val="1"/>
          <w:numId w:val="3"/>
        </w:numPr>
        <w:tabs>
          <w:tab w:val="clear" w:pos="708"/>
          <w:tab w:val="left" w:pos="1134" w:leader="none"/>
        </w:tabs>
        <w:ind w:firstLine="709" w:left="0"/>
        <w:jc w:val="both"/>
        <w:rPr>
          <w:bCs/>
        </w:rPr>
      </w:pPr>
      <w:bookmarkStart w:id="37" w:name="_Ref361337980"/>
      <w:r>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13.1, 13.2 Договора.</w:t>
      </w:r>
      <w:bookmarkEnd w:id="37"/>
    </w:p>
    <w:p>
      <w:pPr>
        <w:pStyle w:val="ListParagraph"/>
        <w:numPr>
          <w:ilvl w:val="1"/>
          <w:numId w:val="3"/>
        </w:numPr>
        <w:tabs>
          <w:tab w:val="clear" w:pos="708"/>
          <w:tab w:val="left" w:pos="1134" w:leader="none"/>
        </w:tabs>
        <w:ind w:firstLine="709" w:left="0"/>
        <w:jc w:val="both"/>
        <w:rPr>
          <w:bCs/>
        </w:rPr>
      </w:pPr>
      <w:bookmarkStart w:id="38" w:name="_Ref373243071"/>
      <w:r>
        <w:rPr>
          <w:bCs/>
        </w:rPr>
        <w:t>Штраф, предусмотренный пунктом 13.4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13.3 Договора.</w:t>
      </w:r>
      <w:bookmarkEnd w:id="38"/>
    </w:p>
    <w:p>
      <w:pPr>
        <w:pStyle w:val="ListParagraph"/>
        <w:numPr>
          <w:ilvl w:val="1"/>
          <w:numId w:val="3"/>
        </w:numPr>
        <w:tabs>
          <w:tab w:val="clear" w:pos="708"/>
          <w:tab w:val="left" w:pos="1134" w:leader="none"/>
        </w:tabs>
        <w:ind w:firstLine="709" w:left="0"/>
        <w:jc w:val="both"/>
        <w:rPr>
          <w:bCs/>
        </w:rPr>
      </w:pPr>
      <w:bookmarkStart w:id="39" w:name="_Ref361337992"/>
      <w:r>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13.4. Договора. При этом Заказчик не будет считаться просрочившим и / или нарушившим свои обязательства по Договору.</w:t>
      </w:r>
      <w:bookmarkEnd w:id="39"/>
    </w:p>
    <w:p>
      <w:pPr>
        <w:pStyle w:val="ListParagraph"/>
        <w:numPr>
          <w:ilvl w:val="1"/>
          <w:numId w:val="3"/>
        </w:numPr>
        <w:tabs>
          <w:tab w:val="clear" w:pos="708"/>
          <w:tab w:val="left" w:pos="1134" w:leader="none"/>
        </w:tabs>
        <w:ind w:firstLine="709" w:left="0"/>
        <w:jc w:val="both"/>
        <w:rPr>
          <w:bCs/>
        </w:rPr>
      </w:pPr>
      <w:r>
        <w:rPr>
          <w:bCs/>
        </w:rPr>
        <w:t>Независимо от других положений Договора, положения пунктов 13.4, 13.5 Договора продолжают действовать в течение 4 (четырех) лет после его прекращения (расторжения) или исполнения.</w:t>
      </w:r>
    </w:p>
    <w:p>
      <w:pPr>
        <w:pStyle w:val="Normal"/>
        <w:tabs>
          <w:tab w:val="clear" w:pos="708"/>
          <w:tab w:val="left" w:pos="1134" w:leader="none"/>
        </w:tabs>
        <w:spacing w:lineRule="auto" w:line="240"/>
        <w:ind w:hanging="0" w:left="709"/>
        <w:jc w:val="both"/>
        <w:rPr/>
      </w:pPr>
      <w:r>
        <w:rPr/>
      </w:r>
    </w:p>
    <w:p>
      <w:pPr>
        <w:pStyle w:val="ListParagraph"/>
        <w:numPr>
          <w:ilvl w:val="0"/>
          <w:numId w:val="3"/>
        </w:numPr>
        <w:tabs>
          <w:tab w:val="clear" w:pos="708"/>
          <w:tab w:val="left" w:pos="426" w:leader="none"/>
        </w:tabs>
        <w:ind w:hanging="0" w:left="0"/>
        <w:jc w:val="center"/>
        <w:rPr>
          <w:b/>
        </w:rPr>
      </w:pPr>
      <w:r>
        <w:rPr>
          <w:b/>
          <w:bCs/>
        </w:rPr>
        <w:t>Заверения</w:t>
      </w:r>
      <w:r>
        <w:rPr>
          <w:b/>
        </w:rPr>
        <w:t xml:space="preserve"> Сторон</w:t>
      </w:r>
    </w:p>
    <w:p>
      <w:pPr>
        <w:pStyle w:val="Normal"/>
        <w:tabs>
          <w:tab w:val="clear" w:pos="708"/>
          <w:tab w:val="left" w:pos="1134" w:leader="none"/>
          <w:tab w:val="left" w:pos="1418" w:leader="none"/>
        </w:tabs>
        <w:spacing w:lineRule="auto" w:line="240"/>
        <w:ind w:hanging="0" w:left="709"/>
        <w:jc w:val="both"/>
        <w:rPr/>
      </w:pPr>
      <w:r>
        <w:rPr>
          <w:bCs/>
          <w:sz w:val="24"/>
          <w:szCs w:val="24"/>
        </w:rPr>
        <w:t>14.1. Каждая</w:t>
      </w:r>
      <w:r>
        <w:rPr>
          <w:sz w:val="24"/>
          <w:szCs w:val="24"/>
        </w:rPr>
        <w:t xml:space="preserve"> из Сторон заявляет и подтверждает другой Стороне, что: </w:t>
      </w:r>
    </w:p>
    <w:p>
      <w:pPr>
        <w:pStyle w:val="ListParagraph"/>
        <w:numPr>
          <w:ilvl w:val="0"/>
          <w:numId w:val="10"/>
        </w:numPr>
        <w:tabs>
          <w:tab w:val="clear" w:pos="708"/>
          <w:tab w:val="left" w:pos="709" w:leader="none"/>
          <w:tab w:val="left" w:pos="1418" w:leader="none"/>
        </w:tabs>
        <w:ind w:firstLine="709" w:left="0"/>
        <w:jc w:val="both"/>
        <w:rPr/>
      </w:pPr>
      <w:r>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pPr>
        <w:pStyle w:val="ListParagraph"/>
        <w:numPr>
          <w:ilvl w:val="0"/>
          <w:numId w:val="10"/>
        </w:numPr>
        <w:tabs>
          <w:tab w:val="clear" w:pos="708"/>
          <w:tab w:val="left" w:pos="709" w:leader="none"/>
          <w:tab w:val="left" w:pos="1418" w:leader="none"/>
        </w:tabs>
        <w:ind w:firstLine="709" w:left="0"/>
        <w:jc w:val="both"/>
        <w:rPr/>
      </w:pPr>
      <w:r>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pPr>
        <w:pStyle w:val="ListParagraph"/>
        <w:numPr>
          <w:ilvl w:val="0"/>
          <w:numId w:val="10"/>
        </w:numPr>
        <w:tabs>
          <w:tab w:val="clear" w:pos="708"/>
          <w:tab w:val="left" w:pos="709" w:leader="none"/>
          <w:tab w:val="left" w:pos="1418" w:leader="none"/>
        </w:tabs>
        <w:ind w:firstLine="709" w:left="0"/>
        <w:jc w:val="both"/>
        <w:rPr/>
      </w:pPr>
      <w:r>
        <w:rPr/>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pPr>
        <w:pStyle w:val="ListParagraph"/>
        <w:numPr>
          <w:ilvl w:val="0"/>
          <w:numId w:val="10"/>
        </w:numPr>
        <w:tabs>
          <w:tab w:val="clear" w:pos="708"/>
          <w:tab w:val="left" w:pos="709" w:leader="none"/>
          <w:tab w:val="left" w:pos="1418" w:leader="none"/>
        </w:tabs>
        <w:ind w:firstLine="709" w:left="0"/>
        <w:jc w:val="both"/>
        <w:rPr/>
      </w:pPr>
      <w:r>
        <w:rPr/>
        <w:t>лица, подписывающие от имени Сторон Договор, надлежащим образом уполномочены на его подписание;</w:t>
      </w:r>
    </w:p>
    <w:p>
      <w:pPr>
        <w:pStyle w:val="ListParagraph"/>
        <w:numPr>
          <w:ilvl w:val="0"/>
          <w:numId w:val="10"/>
        </w:numPr>
        <w:tabs>
          <w:tab w:val="clear" w:pos="708"/>
          <w:tab w:val="left" w:pos="709" w:leader="none"/>
          <w:tab w:val="left" w:pos="1418" w:leader="none"/>
        </w:tabs>
        <w:ind w:firstLine="709" w:left="0"/>
        <w:jc w:val="both"/>
        <w:rPr/>
      </w:pPr>
      <w:r>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pPr>
        <w:pStyle w:val="ListParagraph"/>
        <w:numPr>
          <w:ilvl w:val="1"/>
          <w:numId w:val="3"/>
        </w:numPr>
        <w:tabs>
          <w:tab w:val="clear" w:pos="708"/>
          <w:tab w:val="left" w:pos="1134" w:leader="none"/>
          <w:tab w:val="left" w:pos="1418" w:leader="none"/>
        </w:tabs>
        <w:ind w:firstLine="709" w:left="0"/>
        <w:jc w:val="both"/>
        <w:rPr/>
      </w:pPr>
      <w:r>
        <w:rPr/>
        <w:t>Подрядчик заявляет и заверяет Заказчика в том, что на момент заключения Договора:</w:t>
      </w:r>
    </w:p>
    <w:p>
      <w:pPr>
        <w:pStyle w:val="ListParagraph"/>
        <w:numPr>
          <w:ilvl w:val="0"/>
          <w:numId w:val="12"/>
        </w:numPr>
        <w:tabs>
          <w:tab w:val="clear" w:pos="708"/>
          <w:tab w:val="left" w:pos="709" w:leader="none"/>
          <w:tab w:val="left" w:pos="1418" w:leader="none"/>
        </w:tabs>
        <w:ind w:firstLine="709" w:left="0"/>
        <w:jc w:val="both"/>
        <w:rPr/>
      </w:pPr>
      <w:r>
        <w:rPr/>
        <w:t>учредителем / учредителями Подрядчика являются лица, не являющиеся массовыми учредителем / учредителями;</w:t>
      </w:r>
    </w:p>
    <w:p>
      <w:pPr>
        <w:pStyle w:val="ListParagraph"/>
        <w:numPr>
          <w:ilvl w:val="0"/>
          <w:numId w:val="12"/>
        </w:numPr>
        <w:tabs>
          <w:tab w:val="clear" w:pos="708"/>
          <w:tab w:val="left" w:pos="709" w:leader="none"/>
          <w:tab w:val="left" w:pos="1418" w:leader="none"/>
        </w:tabs>
        <w:ind w:firstLine="709" w:left="0"/>
        <w:jc w:val="both"/>
        <w:rPr/>
      </w:pPr>
      <w:r>
        <w:rPr/>
        <w:t>руководителем Подрядчика является лицо, не являющееся массовым руководителем;</w:t>
      </w:r>
    </w:p>
    <w:p>
      <w:pPr>
        <w:pStyle w:val="ListParagraph"/>
        <w:numPr>
          <w:ilvl w:val="0"/>
          <w:numId w:val="12"/>
        </w:numPr>
        <w:tabs>
          <w:tab w:val="clear" w:pos="708"/>
          <w:tab w:val="left" w:pos="709" w:leader="none"/>
          <w:tab w:val="left" w:pos="1418" w:leader="none"/>
        </w:tabs>
        <w:ind w:firstLine="709" w:left="0"/>
        <w:jc w:val="both"/>
        <w:rPr/>
      </w:pPr>
      <w:r>
        <w:rPr/>
        <w:t xml:space="preserve">Подрядчик фактически находится по адресу, указанному в Едином государственном реестре юридических лиц; </w:t>
      </w:r>
    </w:p>
    <w:p>
      <w:pPr>
        <w:pStyle w:val="ListParagraph"/>
        <w:numPr>
          <w:ilvl w:val="0"/>
          <w:numId w:val="12"/>
        </w:numPr>
        <w:tabs>
          <w:tab w:val="clear" w:pos="708"/>
          <w:tab w:val="left" w:pos="709" w:leader="none"/>
          <w:tab w:val="left" w:pos="1418" w:leader="none"/>
        </w:tabs>
        <w:ind w:firstLine="709" w:left="0"/>
        <w:jc w:val="both"/>
        <w:rPr/>
      </w:pPr>
      <w:r>
        <w:rPr/>
        <w:t>Подрядчик своевременно и в полном объеме уплачивает налоги и сборы в соответствии с законодательством Российской Федерации;</w:t>
      </w:r>
    </w:p>
    <w:p>
      <w:pPr>
        <w:pStyle w:val="ListParagraph"/>
        <w:numPr>
          <w:ilvl w:val="0"/>
          <w:numId w:val="11"/>
        </w:numPr>
        <w:tabs>
          <w:tab w:val="clear" w:pos="708"/>
          <w:tab w:val="left" w:pos="567" w:leader="none"/>
          <w:tab w:val="left" w:pos="1418" w:leader="none"/>
        </w:tabs>
        <w:ind w:firstLine="709" w:left="0"/>
        <w:jc w:val="both"/>
        <w:rPr/>
      </w:pPr>
      <w:r>
        <w:rPr/>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pPr>
        <w:pStyle w:val="ListParagraph"/>
        <w:numPr>
          <w:ilvl w:val="0"/>
          <w:numId w:val="11"/>
        </w:numPr>
        <w:tabs>
          <w:tab w:val="clear" w:pos="708"/>
          <w:tab w:val="left" w:pos="567" w:leader="none"/>
          <w:tab w:val="left" w:pos="1418" w:leader="none"/>
        </w:tabs>
        <w:ind w:firstLine="709" w:left="0"/>
        <w:jc w:val="both"/>
        <w:rPr/>
      </w:pPr>
      <w:r>
        <w:rPr/>
        <w:t>Подрядчик состоит в СРО, основанной на членстве лиц выполняющих подготовку проектной документации и осуществляющих строительство</w:t>
      </w:r>
      <w:r>
        <w:rPr>
          <w:rStyle w:val="FootnoteReference"/>
        </w:rPr>
        <w:footnoteReference w:id="5"/>
      </w:r>
      <w:r>
        <w:rPr/>
        <w:t>;</w:t>
      </w:r>
    </w:p>
    <w:p>
      <w:pPr>
        <w:pStyle w:val="ListParagraph"/>
        <w:numPr>
          <w:ilvl w:val="0"/>
          <w:numId w:val="11"/>
        </w:numPr>
        <w:tabs>
          <w:tab w:val="clear" w:pos="708"/>
          <w:tab w:val="left" w:pos="567" w:leader="none"/>
          <w:tab w:val="left" w:pos="1418" w:leader="none"/>
        </w:tabs>
        <w:ind w:firstLine="709" w:left="0"/>
        <w:jc w:val="both"/>
        <w:rPr/>
      </w:pPr>
      <w:r>
        <w:rPr/>
        <w:t>Подрядчик имеет в штате по основному месту работы не менее 2 (двух) специалистов по организации архитектурно- строительного проектирования/по организации строительства, сведения о которых включены в национальный реестр специалистов в области архитектурно-строительного проектирования/ национальный реестр специалистов в области строительства</w:t>
      </w:r>
      <w:r>
        <w:rPr>
          <w:rStyle w:val="FootnoteReference"/>
        </w:rPr>
        <w:footnoteReference w:id="6"/>
      </w:r>
      <w:r>
        <w:rPr/>
        <w:t>;</w:t>
      </w:r>
    </w:p>
    <w:p>
      <w:pPr>
        <w:pStyle w:val="ListParagraph"/>
        <w:numPr>
          <w:ilvl w:val="0"/>
          <w:numId w:val="11"/>
        </w:numPr>
        <w:tabs>
          <w:tab w:val="clear" w:pos="708"/>
          <w:tab w:val="left" w:pos="567" w:leader="none"/>
          <w:tab w:val="left" w:pos="1418" w:leader="none"/>
        </w:tabs>
        <w:ind w:firstLine="709" w:left="0"/>
        <w:jc w:val="both"/>
        <w:rPr/>
      </w:pPr>
      <w:r>
        <w:rPr/>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pPr>
        <w:pStyle w:val="ListParagraph"/>
        <w:numPr>
          <w:ilvl w:val="0"/>
          <w:numId w:val="11"/>
        </w:numPr>
        <w:tabs>
          <w:tab w:val="clear" w:pos="708"/>
          <w:tab w:val="left" w:pos="567" w:leader="none"/>
          <w:tab w:val="left" w:pos="1418" w:leader="none"/>
        </w:tabs>
        <w:ind w:firstLine="709" w:left="0"/>
        <w:jc w:val="both"/>
        <w:rPr/>
      </w:pPr>
      <w:r>
        <w:rPr/>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pPr>
        <w:pStyle w:val="ListParagraph"/>
        <w:numPr>
          <w:ilvl w:val="0"/>
          <w:numId w:val="11"/>
        </w:numPr>
        <w:tabs>
          <w:tab w:val="clear" w:pos="708"/>
          <w:tab w:val="left" w:pos="567" w:leader="none"/>
          <w:tab w:val="left" w:pos="1418" w:leader="none"/>
        </w:tabs>
        <w:ind w:firstLine="709" w:left="0"/>
        <w:jc w:val="both"/>
        <w:rPr/>
      </w:pPr>
      <w:r>
        <w:rPr/>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pPr>
        <w:pStyle w:val="ListParagraph"/>
        <w:numPr>
          <w:ilvl w:val="0"/>
          <w:numId w:val="11"/>
        </w:numPr>
        <w:tabs>
          <w:tab w:val="clear" w:pos="708"/>
          <w:tab w:val="left" w:pos="567" w:leader="none"/>
          <w:tab w:val="left" w:pos="1418" w:leader="none"/>
        </w:tabs>
        <w:ind w:firstLine="709" w:left="0"/>
        <w:jc w:val="both"/>
        <w:rPr/>
      </w:pPr>
      <w:r>
        <w:rPr/>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pPr>
        <w:pStyle w:val="ListParagraph"/>
        <w:numPr>
          <w:ilvl w:val="0"/>
          <w:numId w:val="11"/>
        </w:numPr>
        <w:tabs>
          <w:tab w:val="clear" w:pos="708"/>
          <w:tab w:val="left" w:pos="567" w:leader="none"/>
          <w:tab w:val="left" w:pos="1418" w:leader="none"/>
        </w:tabs>
        <w:ind w:firstLine="709" w:left="0"/>
        <w:jc w:val="both"/>
        <w:rPr/>
      </w:pPr>
      <w:r>
        <w:rPr/>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pPr>
        <w:pStyle w:val="Normal"/>
        <w:numPr>
          <w:ilvl w:val="1"/>
          <w:numId w:val="3"/>
        </w:numPr>
        <w:spacing w:lineRule="auto" w:line="240"/>
        <w:ind w:firstLine="709" w:left="0"/>
        <w:rPr>
          <w:sz w:val="24"/>
          <w:szCs w:val="24"/>
        </w:rPr>
      </w:pPr>
      <w:r>
        <w:rPr>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pPr>
        <w:pStyle w:val="ListParagraph"/>
        <w:numPr>
          <w:ilvl w:val="1"/>
          <w:numId w:val="3"/>
        </w:numPr>
        <w:tabs>
          <w:tab w:val="clear" w:pos="708"/>
          <w:tab w:val="left" w:pos="1134" w:leader="none"/>
          <w:tab w:val="left" w:pos="1418" w:leader="none"/>
        </w:tabs>
        <w:ind w:firstLine="709" w:left="0"/>
        <w:jc w:val="both"/>
        <w:rPr/>
      </w:pPr>
      <w:r>
        <w:rPr/>
        <w:t xml:space="preserve">В случае, если </w:t>
      </w:r>
      <w:r>
        <w:rPr>
          <w:bCs/>
        </w:rPr>
        <w:t>Подрядчик</w:t>
      </w:r>
      <w:r>
        <w:rPr/>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Pr>
          <w:bCs/>
        </w:rPr>
        <w:t xml:space="preserve">Подрядчик </w:t>
      </w:r>
      <w:r>
        <w:rPr/>
        <w:t>обязан по письменному требованию Заказчика уплатить последнему штраф в размере 5% (пять процентов) от Цены Договора, указанной в пункте 3.1 Договора.</w:t>
      </w:r>
    </w:p>
    <w:p>
      <w:pPr>
        <w:pStyle w:val="ListParagraph"/>
        <w:numPr>
          <w:ilvl w:val="1"/>
          <w:numId w:val="3"/>
        </w:numPr>
        <w:tabs>
          <w:tab w:val="clear" w:pos="708"/>
          <w:tab w:val="left" w:pos="1134" w:leader="none"/>
          <w:tab w:val="left" w:pos="1418" w:leader="none"/>
        </w:tabs>
        <w:ind w:firstLine="709" w:left="0"/>
        <w:jc w:val="both"/>
        <w:rPr/>
      </w:pPr>
      <w:r>
        <w:rPr/>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pPr>
        <w:pStyle w:val="ListParagraph"/>
        <w:tabs>
          <w:tab w:val="clear" w:pos="708"/>
          <w:tab w:val="left" w:pos="1134" w:leader="none"/>
          <w:tab w:val="left" w:pos="1418" w:leader="none"/>
        </w:tabs>
        <w:ind w:hanging="0" w:left="0"/>
        <w:jc w:val="both"/>
        <w:rPr>
          <w:b/>
        </w:rPr>
      </w:pPr>
      <w:r>
        <w:rPr>
          <w:b/>
        </w:rPr>
      </w:r>
    </w:p>
    <w:p>
      <w:pPr>
        <w:pStyle w:val="ListParagraph"/>
        <w:numPr>
          <w:ilvl w:val="0"/>
          <w:numId w:val="3"/>
        </w:numPr>
        <w:tabs>
          <w:tab w:val="clear" w:pos="708"/>
          <w:tab w:val="left" w:pos="426" w:leader="none"/>
        </w:tabs>
        <w:ind w:hanging="0" w:left="0"/>
        <w:jc w:val="center"/>
        <w:rPr>
          <w:b/>
        </w:rPr>
      </w:pPr>
      <w:r>
        <w:rPr>
          <w:b/>
          <w:bCs/>
        </w:rPr>
        <w:t>П</w:t>
      </w:r>
      <w:r>
        <w:rPr>
          <w:b/>
        </w:rPr>
        <w:t>рекращение (расторжение) Договора</w:t>
      </w:r>
    </w:p>
    <w:p>
      <w:pPr>
        <w:pStyle w:val="Normal"/>
        <w:tabs>
          <w:tab w:val="clear" w:pos="708"/>
          <w:tab w:val="left" w:pos="1134" w:leader="none"/>
        </w:tabs>
        <w:spacing w:lineRule="auto" w:line="240"/>
        <w:ind w:hanging="0" w:left="709"/>
        <w:jc w:val="both"/>
        <w:rPr>
          <w:sz w:val="24"/>
          <w:szCs w:val="24"/>
        </w:rPr>
      </w:pPr>
      <w:r>
        <w:rPr>
          <w:sz w:val="24"/>
          <w:szCs w:val="24"/>
        </w:rPr>
        <w:t xml:space="preserve">15.1. Договор может быть прекращен (расторгнут) по соглашению Сторон. Сторона, </w:t>
      </w:r>
    </w:p>
    <w:p>
      <w:pPr>
        <w:pStyle w:val="Normal"/>
        <w:tabs>
          <w:tab w:val="clear" w:pos="708"/>
          <w:tab w:val="left" w:pos="1134" w:leader="none"/>
        </w:tabs>
        <w:spacing w:lineRule="auto" w:line="240"/>
        <w:ind w:hanging="0" w:left="0"/>
        <w:jc w:val="both"/>
        <w:rPr>
          <w:sz w:val="24"/>
          <w:szCs w:val="24"/>
        </w:rPr>
      </w:pPr>
      <w:r>
        <w:rPr>
          <w:sz w:val="24"/>
          <w:szCs w:val="24"/>
        </w:rPr>
        <w:t>имеющая намерение расторгнуть Договор, направляет письменное уведомление об этом другой Стороне в порядке, предусмотренном пунктом 17.7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pPr>
        <w:pStyle w:val="ListParagraph"/>
        <w:numPr>
          <w:ilvl w:val="1"/>
          <w:numId w:val="3"/>
        </w:numPr>
        <w:tabs>
          <w:tab w:val="clear" w:pos="708"/>
          <w:tab w:val="left" w:pos="1134" w:leader="none"/>
        </w:tabs>
        <w:ind w:firstLine="709" w:left="0"/>
        <w:jc w:val="both"/>
        <w:rPr/>
      </w:pPr>
      <w:r>
        <w:rPr/>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pPr>
        <w:pStyle w:val="ListParagraph"/>
        <w:tabs>
          <w:tab w:val="clear" w:pos="708"/>
          <w:tab w:val="left" w:pos="1134" w:leader="none"/>
        </w:tabs>
        <w:ind w:firstLine="709" w:left="0"/>
        <w:jc w:val="both"/>
        <w:rPr/>
      </w:pPr>
      <w:r>
        <w:rPr/>
        <w:t>Возмещение убытков Подрядчика, вызванных отказом от Договора (исполнения Договора), Заказчиком не производится.</w:t>
      </w:r>
    </w:p>
    <w:p>
      <w:pPr>
        <w:pStyle w:val="ListParagraph"/>
        <w:numPr>
          <w:ilvl w:val="1"/>
          <w:numId w:val="3"/>
        </w:numPr>
        <w:tabs>
          <w:tab w:val="clear" w:pos="708"/>
          <w:tab w:val="left" w:pos="1134" w:leader="none"/>
        </w:tabs>
        <w:ind w:firstLine="709" w:left="0"/>
        <w:jc w:val="both"/>
        <w:rPr/>
      </w:pPr>
      <w:r>
        <w:rPr/>
        <w:t>В случае существенного нарушения Договора Подрядчиком Заказчик имеет право отказаться от исполнения Договора в одностороннем внесудебном порядке, а также  потребовать возмещения убытков. При этом Заказчик также вправе возвратить Подрядчику имущество (имущественные права) и / или результаты Работ, ранее принятых по Договору, и потребовать возврата уплаченных денежных средств.</w:t>
      </w:r>
    </w:p>
    <w:p>
      <w:pPr>
        <w:pStyle w:val="ListParagraph"/>
        <w:tabs>
          <w:tab w:val="clear" w:pos="708"/>
          <w:tab w:val="left" w:pos="1134" w:leader="none"/>
        </w:tabs>
        <w:ind w:firstLine="709" w:left="0"/>
        <w:jc w:val="both"/>
        <w:rPr/>
      </w:pPr>
      <w:r>
        <w:rPr/>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pPr>
        <w:pStyle w:val="ListParagraph"/>
        <w:numPr>
          <w:ilvl w:val="1"/>
          <w:numId w:val="3"/>
        </w:numPr>
        <w:tabs>
          <w:tab w:val="clear" w:pos="708"/>
          <w:tab w:val="left" w:pos="1134" w:leader="none"/>
        </w:tabs>
        <w:ind w:firstLine="709" w:left="0"/>
        <w:jc w:val="both"/>
        <w:rPr/>
      </w:pPr>
      <w:r>
        <w:rPr/>
        <w:t>Стороны установили, что существенным нарушением Договора Подрядчиком является:</w:t>
      </w:r>
    </w:p>
    <w:p>
      <w:pPr>
        <w:pStyle w:val="ListParagraph"/>
        <w:numPr>
          <w:ilvl w:val="0"/>
          <w:numId w:val="9"/>
        </w:numPr>
        <w:tabs>
          <w:tab w:val="clear" w:pos="708"/>
          <w:tab w:val="left" w:pos="1134" w:leader="none"/>
        </w:tabs>
        <w:ind w:firstLine="709" w:left="0" w:right="23"/>
        <w:jc w:val="both"/>
        <w:rPr/>
      </w:pPr>
      <w:r>
        <w:rPr/>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Графиком производства и финансирования Работ (Приложение № 2 к Договору), более чем на 60 (шестьдесят) календарных дней по причинам, не зависящим от Заказчика;</w:t>
      </w:r>
    </w:p>
    <w:p>
      <w:pPr>
        <w:pStyle w:val="ListParagraph"/>
        <w:numPr>
          <w:ilvl w:val="0"/>
          <w:numId w:val="9"/>
        </w:numPr>
        <w:tabs>
          <w:tab w:val="clear" w:pos="708"/>
          <w:tab w:val="left" w:pos="1134" w:leader="none"/>
        </w:tabs>
        <w:ind w:firstLine="709" w:left="0" w:right="23"/>
        <w:jc w:val="both"/>
        <w:rPr/>
      </w:pPr>
      <w:r>
        <w:rPr/>
        <w:t>несоблюдение Подрядчиком требований к качеству Работ и / или используемых при выполнении Работ Материально-технических ресурсов</w:t>
      </w:r>
      <w:r>
        <w:rPr>
          <w:bCs/>
        </w:rPr>
        <w:t xml:space="preserve"> и оборудования,</w:t>
      </w:r>
      <w:r>
        <w:rPr/>
        <w:t xml:space="preserve">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pPr>
        <w:pStyle w:val="ListParagraph"/>
        <w:numPr>
          <w:ilvl w:val="0"/>
          <w:numId w:val="9"/>
        </w:numPr>
        <w:tabs>
          <w:tab w:val="clear" w:pos="708"/>
          <w:tab w:val="left" w:pos="1134" w:leader="none"/>
        </w:tabs>
        <w:ind w:firstLine="709" w:left="0" w:right="23"/>
        <w:jc w:val="both"/>
        <w:rPr/>
      </w:pPr>
      <w:r>
        <w:rPr/>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pPr>
        <w:pStyle w:val="ListParagraph"/>
        <w:numPr>
          <w:ilvl w:val="0"/>
          <w:numId w:val="9"/>
        </w:numPr>
        <w:tabs>
          <w:tab w:val="clear" w:pos="708"/>
          <w:tab w:val="left" w:pos="1134" w:leader="none"/>
        </w:tabs>
        <w:ind w:firstLine="709" w:left="0" w:right="23"/>
        <w:jc w:val="both"/>
        <w:rPr>
          <w:highlight w:val="white"/>
        </w:rPr>
      </w:pPr>
      <w:r>
        <w:rPr>
          <w:highlight w:val="white"/>
        </w:rPr>
        <w:t>прекращение членства в СРО, основанной на членстве лиц,  осуществляющих строительство, предоставляющих Подрядчику право на производство Работ по Договору;</w:t>
      </w:r>
    </w:p>
    <w:p>
      <w:pPr>
        <w:pStyle w:val="ListParagraph"/>
        <w:numPr>
          <w:ilvl w:val="0"/>
          <w:numId w:val="9"/>
        </w:numPr>
        <w:tabs>
          <w:tab w:val="clear" w:pos="708"/>
          <w:tab w:val="left" w:pos="1134" w:leader="none"/>
        </w:tabs>
        <w:ind w:firstLine="709" w:left="0" w:right="23"/>
        <w:jc w:val="both"/>
        <w:rPr/>
      </w:pPr>
      <w:r>
        <w:rPr/>
        <w:t>принятие актов государственных органов или организаций, лишающих Подрядчика в установленном порядке права на производство Работ по Договору;</w:t>
      </w:r>
    </w:p>
    <w:p>
      <w:pPr>
        <w:pStyle w:val="ListParagraph"/>
        <w:numPr>
          <w:ilvl w:val="0"/>
          <w:numId w:val="9"/>
        </w:numPr>
        <w:tabs>
          <w:tab w:val="clear" w:pos="708"/>
          <w:tab w:val="left" w:pos="1134" w:leader="none"/>
        </w:tabs>
        <w:ind w:firstLine="709" w:left="0" w:right="23"/>
        <w:jc w:val="both"/>
        <w:rPr/>
      </w:pPr>
      <w:r>
        <w:rPr/>
        <w:t>наложение ареста на имущество Подрядчика, введение арбитражным судом процедуры несостоятельности (банкротства) в отношении Подрядчика;</w:t>
      </w:r>
    </w:p>
    <w:p>
      <w:pPr>
        <w:pStyle w:val="ListParagraph"/>
        <w:numPr>
          <w:ilvl w:val="0"/>
          <w:numId w:val="9"/>
        </w:numPr>
        <w:tabs>
          <w:tab w:val="clear" w:pos="708"/>
          <w:tab w:val="left" w:pos="1134" w:leader="none"/>
        </w:tabs>
        <w:ind w:firstLine="709" w:left="0" w:right="23"/>
        <w:jc w:val="both"/>
        <w:rPr/>
      </w:pPr>
      <w:r>
        <w:rPr/>
        <w:t>привлечение к выполнению Работ по Договору третьих лиц (Субподрядчиков) с нарушением требований, установленных пунктом</w:t>
      </w:r>
      <w:r>
        <w:rPr>
          <w:highlight w:val="white"/>
        </w:rPr>
        <w:t xml:space="preserve"> 2.4.2 </w:t>
      </w:r>
      <w:r>
        <w:rPr/>
        <w:t>Договора;</w:t>
      </w:r>
    </w:p>
    <w:p>
      <w:pPr>
        <w:pStyle w:val="ListParagraph"/>
        <w:numPr>
          <w:ilvl w:val="0"/>
          <w:numId w:val="9"/>
        </w:numPr>
        <w:tabs>
          <w:tab w:val="clear" w:pos="708"/>
          <w:tab w:val="left" w:pos="1134" w:leader="none"/>
        </w:tabs>
        <w:ind w:firstLine="709" w:left="0" w:right="23"/>
        <w:jc w:val="both"/>
        <w:rPr/>
      </w:pPr>
      <w:r>
        <w:rP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pPr>
        <w:pStyle w:val="ListParagraph"/>
        <w:numPr>
          <w:ilvl w:val="0"/>
          <w:numId w:val="9"/>
        </w:numPr>
        <w:tabs>
          <w:tab w:val="clear" w:pos="708"/>
          <w:tab w:val="left" w:pos="1134" w:leader="none"/>
        </w:tabs>
        <w:ind w:firstLine="709" w:left="0" w:right="23"/>
        <w:jc w:val="both"/>
        <w:rPr/>
      </w:pPr>
      <w:r>
        <w:rPr/>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14 Договора, и имеющих существенное значение для его заключения и исполнения.</w:t>
      </w:r>
    </w:p>
    <w:p>
      <w:pPr>
        <w:pStyle w:val="ListParagraph"/>
        <w:numPr>
          <w:ilvl w:val="1"/>
          <w:numId w:val="3"/>
        </w:numPr>
        <w:tabs>
          <w:tab w:val="clear" w:pos="708"/>
          <w:tab w:val="left" w:pos="1134" w:leader="none"/>
        </w:tabs>
        <w:ind w:firstLine="709" w:left="0"/>
        <w:jc w:val="both"/>
        <w:rPr/>
      </w:pPr>
      <w:r>
        <w:rPr/>
        <w:t xml:space="preserve">В случае отказа Заказчика от Договора в случаях, предусмотренных пунктами 15.2, 15.3, 15.4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pPr>
        <w:pStyle w:val="ListParagraph"/>
        <w:numPr>
          <w:ilvl w:val="1"/>
          <w:numId w:val="3"/>
        </w:numPr>
        <w:tabs>
          <w:tab w:val="clear" w:pos="708"/>
          <w:tab w:val="left" w:pos="1134" w:leader="none"/>
        </w:tabs>
        <w:ind w:firstLine="709" w:left="0"/>
        <w:jc w:val="both"/>
        <w:rPr/>
      </w:pPr>
      <w:r>
        <w:rPr/>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и в согласованные Сторонами сроки:</w:t>
      </w:r>
    </w:p>
    <w:p>
      <w:pPr>
        <w:pStyle w:val="ListParagraph"/>
        <w:numPr>
          <w:ilvl w:val="0"/>
          <w:numId w:val="19"/>
        </w:numPr>
        <w:tabs>
          <w:tab w:val="clear" w:pos="708"/>
          <w:tab w:val="left" w:pos="1418" w:leader="none"/>
        </w:tabs>
        <w:ind w:firstLine="709" w:left="0"/>
        <w:jc w:val="both"/>
        <w:rPr/>
      </w:pPr>
      <w:r>
        <w:rPr/>
        <w:t>передать Заказчику Результат работ, техническую и иную полученную документацию, закупленные Материально-технические ресурсы</w:t>
      </w:r>
      <w:r>
        <w:rPr>
          <w:bCs/>
        </w:rPr>
        <w:t xml:space="preserve"> и оборудование;</w:t>
      </w:r>
    </w:p>
    <w:p>
      <w:pPr>
        <w:pStyle w:val="ListParagraph"/>
        <w:numPr>
          <w:ilvl w:val="0"/>
          <w:numId w:val="19"/>
        </w:numPr>
        <w:tabs>
          <w:tab w:val="clear" w:pos="708"/>
          <w:tab w:val="left" w:pos="1418" w:leader="none"/>
        </w:tabs>
        <w:ind w:firstLine="709" w:left="0"/>
        <w:jc w:val="both"/>
        <w:rPr>
          <w:rFonts w:cs="Verdana"/>
        </w:rPr>
      </w:pPr>
      <w:r>
        <w:rPr/>
        <w:t>вывезти с места производства Работ собственную строительную технику</w:t>
      </w:r>
      <w:r>
        <w:rPr>
          <w:rFonts w:cs="Verdana"/>
        </w:rPr>
        <w:t xml:space="preserve"> и персонал Подрядчика; </w:t>
      </w:r>
    </w:p>
    <w:p>
      <w:pPr>
        <w:pStyle w:val="ListParagraph"/>
        <w:numPr>
          <w:ilvl w:val="0"/>
          <w:numId w:val="19"/>
        </w:numPr>
        <w:tabs>
          <w:tab w:val="clear" w:pos="708"/>
          <w:tab w:val="left" w:pos="1418" w:leader="none"/>
        </w:tabs>
        <w:ind w:firstLine="709" w:left="0"/>
        <w:jc w:val="both"/>
        <w:rPr>
          <w:rFonts w:cs="Verdana"/>
        </w:rPr>
      </w:pPr>
      <w:r>
        <w:rPr>
          <w:rFonts w:cs="Verdana"/>
        </w:rPr>
        <w:t xml:space="preserve">удалить </w:t>
      </w:r>
      <w:r>
        <w:rPr/>
        <w:t xml:space="preserve">с места производства Работ </w:t>
      </w:r>
      <w:r>
        <w:rPr>
          <w:rFonts w:cs="Verdana"/>
        </w:rPr>
        <w:t xml:space="preserve">весь мусор и все остаточные продукты любого рода и оставить </w:t>
      </w:r>
      <w:r>
        <w:rPr>
          <w:rFonts w:cs="Verdana"/>
          <w:bCs/>
        </w:rPr>
        <w:t>Место производства Работ</w:t>
      </w:r>
      <w:r>
        <w:rPr>
          <w:rFonts w:cs="Verdana"/>
        </w:rPr>
        <w:t xml:space="preserve"> чистым и безопасным.</w:t>
      </w:r>
    </w:p>
    <w:p>
      <w:pPr>
        <w:pStyle w:val="ListParagraph"/>
        <w:numPr>
          <w:ilvl w:val="1"/>
          <w:numId w:val="3"/>
        </w:numPr>
        <w:tabs>
          <w:tab w:val="clear" w:pos="708"/>
          <w:tab w:val="left" w:pos="1134" w:leader="none"/>
        </w:tabs>
        <w:ind w:firstLine="709" w:left="0"/>
        <w:jc w:val="both"/>
        <w:rPr/>
      </w:pPr>
      <w:r>
        <w:rPr/>
        <w:t>В случае досрочного прекращения (расторжения) Договора возврат Обеспечительного платежа производится Заказчиком в порядке и сроки, установленном пункто</w:t>
      </w:r>
      <w:r>
        <w:rPr>
          <w:highlight w:val="white"/>
        </w:rPr>
        <w:t>м 3.6.5 Д</w:t>
      </w:r>
      <w:r>
        <w:rPr/>
        <w:t>оговора.</w:t>
      </w:r>
    </w:p>
    <w:p>
      <w:pPr>
        <w:pStyle w:val="ListParagraph"/>
        <w:numPr>
          <w:ilvl w:val="1"/>
          <w:numId w:val="3"/>
        </w:numPr>
        <w:tabs>
          <w:tab w:val="clear" w:pos="708"/>
          <w:tab w:val="left" w:pos="1134" w:leader="none"/>
        </w:tabs>
        <w:ind w:firstLine="709" w:left="0"/>
        <w:jc w:val="both"/>
        <w:rPr/>
      </w:pPr>
      <w:r>
        <w:rPr/>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8 Договора, а также обязательств Подрядчика по возмещению неустойки (пени), штрафов и убытков в случаях и размерах, предусмотренных Договором.</w:t>
      </w:r>
    </w:p>
    <w:p>
      <w:pPr>
        <w:pStyle w:val="ListParagraph"/>
        <w:numPr>
          <w:ilvl w:val="0"/>
          <w:numId w:val="0"/>
        </w:numPr>
        <w:tabs>
          <w:tab w:val="clear" w:pos="708"/>
          <w:tab w:val="left" w:pos="1134" w:leader="none"/>
        </w:tabs>
        <w:ind w:hanging="0" w:left="0"/>
        <w:jc w:val="both"/>
        <w:rPr/>
      </w:pPr>
      <w:r>
        <w:rPr/>
      </w:r>
    </w:p>
    <w:p>
      <w:pPr>
        <w:pStyle w:val="ListParagraph"/>
        <w:numPr>
          <w:ilvl w:val="0"/>
          <w:numId w:val="3"/>
        </w:numPr>
        <w:tabs>
          <w:tab w:val="clear" w:pos="708"/>
          <w:tab w:val="left" w:pos="426" w:leader="none"/>
        </w:tabs>
        <w:spacing w:lineRule="auto" w:line="240"/>
        <w:ind w:hanging="0" w:left="0"/>
        <w:jc w:val="center"/>
        <w:rPr>
          <w:bCs/>
          <w:sz w:val="24"/>
          <w:szCs w:val="24"/>
        </w:rPr>
      </w:pPr>
      <w:r>
        <w:rPr>
          <w:b/>
          <w:bCs/>
          <w:sz w:val="24"/>
          <w:szCs w:val="24"/>
        </w:rPr>
        <w:t>Разрешение споров</w:t>
      </w:r>
    </w:p>
    <w:p>
      <w:pPr>
        <w:pStyle w:val="Normal"/>
        <w:tabs>
          <w:tab w:val="clear" w:pos="708"/>
          <w:tab w:val="left" w:pos="1134" w:leader="none"/>
          <w:tab w:val="left" w:pos="1418" w:leader="none"/>
        </w:tabs>
        <w:spacing w:lineRule="auto" w:line="240"/>
        <w:ind w:hanging="0" w:left="709"/>
        <w:jc w:val="both"/>
        <w:rPr>
          <w:sz w:val="24"/>
          <w:szCs w:val="24"/>
        </w:rPr>
      </w:pPr>
      <w:r>
        <w:rPr>
          <w:bCs/>
          <w:sz w:val="24"/>
          <w:szCs w:val="24"/>
        </w:rPr>
        <w:t xml:space="preserve">16.1.   Все   споры,   разногласия   и   требования,   возникающие  между Сторонами из </w:t>
      </w:r>
    </w:p>
    <w:p>
      <w:pPr>
        <w:pStyle w:val="Normal"/>
        <w:tabs>
          <w:tab w:val="clear" w:pos="708"/>
          <w:tab w:val="left" w:pos="1134" w:leader="none"/>
          <w:tab w:val="left" w:pos="1418" w:leader="none"/>
        </w:tabs>
        <w:spacing w:lineRule="auto" w:line="240"/>
        <w:ind w:hanging="0" w:left="0"/>
        <w:jc w:val="both"/>
        <w:rPr>
          <w:sz w:val="24"/>
          <w:szCs w:val="24"/>
        </w:rPr>
      </w:pPr>
      <w:r>
        <w:rPr>
          <w:bCs/>
          <w:sz w:val="24"/>
          <w:szCs w:val="24"/>
        </w:rPr>
        <w:t>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pPr>
        <w:pStyle w:val="ListParagraph"/>
        <w:numPr>
          <w:ilvl w:val="1"/>
          <w:numId w:val="3"/>
        </w:numPr>
        <w:tabs>
          <w:tab w:val="clear" w:pos="708"/>
          <w:tab w:val="left" w:pos="1134" w:leader="none"/>
          <w:tab w:val="left" w:pos="1418" w:leader="none"/>
        </w:tabs>
        <w:ind w:firstLine="709" w:left="0"/>
        <w:jc w:val="both"/>
        <w:rPr>
          <w:bCs/>
        </w:rPr>
      </w:pPr>
      <w:r>
        <w:rPr>
          <w:bCs/>
        </w:rPr>
        <w:t>Споры, указанные в пункте 16.1 Договора, которые не были урегулированы Сторонами путем переговоров, подлежат разрешению в Арбитражном суде Амурской области в соответствии с законодательством Российской Федерации, за исключением споров из Независимой гарантии, подсудность которых предусмотрена в п. 6.6 Договора.</w:t>
      </w:r>
    </w:p>
    <w:p>
      <w:pPr>
        <w:pStyle w:val="ListParagraph"/>
        <w:numPr>
          <w:ilvl w:val="1"/>
          <w:numId w:val="3"/>
        </w:numPr>
        <w:tabs>
          <w:tab w:val="clear" w:pos="708"/>
          <w:tab w:val="left" w:pos="1134" w:leader="none"/>
          <w:tab w:val="left" w:pos="1418" w:leader="none"/>
        </w:tabs>
        <w:ind w:firstLine="709" w:left="0"/>
        <w:jc w:val="both"/>
        <w:rPr>
          <w:bCs/>
        </w:rPr>
      </w:pPr>
      <w:r>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Pr>
          <w:bCs/>
          <w:lang w:val="en-US"/>
        </w:rPr>
        <w:t>7</w:t>
      </w:r>
      <w:r>
        <w:rPr>
          <w:bCs/>
        </w:rPr>
        <w:t>.7 Договора.</w:t>
      </w:r>
    </w:p>
    <w:p>
      <w:pPr>
        <w:pStyle w:val="ListParagraph"/>
        <w:numPr>
          <w:ilvl w:val="1"/>
          <w:numId w:val="3"/>
        </w:numPr>
        <w:tabs>
          <w:tab w:val="clear" w:pos="708"/>
          <w:tab w:val="left" w:pos="1134" w:leader="none"/>
          <w:tab w:val="left" w:pos="1418" w:leader="none"/>
        </w:tabs>
        <w:ind w:firstLine="709" w:left="0"/>
        <w:jc w:val="both"/>
        <w:rPr>
          <w:bCs/>
        </w:rPr>
      </w:pPr>
      <w:r>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pPr>
        <w:pStyle w:val="ListParagraph"/>
        <w:numPr>
          <w:ilvl w:val="1"/>
          <w:numId w:val="3"/>
        </w:numPr>
        <w:tabs>
          <w:tab w:val="clear" w:pos="708"/>
          <w:tab w:val="left" w:pos="1134" w:leader="none"/>
          <w:tab w:val="left" w:pos="1418" w:leader="none"/>
        </w:tabs>
        <w:ind w:firstLine="709" w:left="0"/>
        <w:jc w:val="both"/>
        <w:rPr>
          <w:bCs/>
        </w:rPr>
      </w:pPr>
      <w:r>
        <w:rPr>
          <w:bCs/>
        </w:rPr>
        <w:t>Условия настоящего раздела сохраняют свою силу в случае признания Договора незаключенным и / или недействительным.</w:t>
      </w:r>
    </w:p>
    <w:p>
      <w:pPr>
        <w:pStyle w:val="ListParagraph"/>
        <w:tabs>
          <w:tab w:val="clear" w:pos="708"/>
          <w:tab w:val="left" w:pos="1418" w:leader="none"/>
        </w:tabs>
        <w:ind w:firstLine="567" w:left="0"/>
        <w:jc w:val="both"/>
        <w:rPr>
          <w:b/>
          <w:bCs/>
        </w:rPr>
      </w:pPr>
      <w:r>
        <w:rPr>
          <w:b/>
          <w:bCs/>
        </w:rPr>
      </w:r>
    </w:p>
    <w:p>
      <w:pPr>
        <w:pStyle w:val="ListParagraph"/>
        <w:numPr>
          <w:ilvl w:val="0"/>
          <w:numId w:val="3"/>
        </w:numPr>
        <w:tabs>
          <w:tab w:val="clear" w:pos="708"/>
          <w:tab w:val="left" w:pos="426" w:leader="none"/>
        </w:tabs>
        <w:ind w:hanging="0" w:left="0"/>
        <w:jc w:val="center"/>
        <w:rPr>
          <w:b/>
          <w:bCs/>
        </w:rPr>
      </w:pPr>
      <w:r>
        <w:rPr>
          <w:b/>
          <w:bCs/>
        </w:rPr>
        <w:t>Заключительные положения</w:t>
      </w:r>
    </w:p>
    <w:p>
      <w:pPr>
        <w:pStyle w:val="Normal"/>
        <w:spacing w:lineRule="auto" w:line="240"/>
        <w:ind w:hanging="0" w:left="709"/>
        <w:jc w:val="both"/>
        <w:rPr>
          <w:sz w:val="24"/>
          <w:szCs w:val="24"/>
          <w:u w:val="none"/>
        </w:rPr>
      </w:pPr>
      <w:r>
        <w:rPr>
          <w:sz w:val="24"/>
          <w:szCs w:val="24"/>
        </w:rPr>
        <w:t xml:space="preserve">17.1. Договор вступает в силу с даты его подписания Сторонами и действует по </w:t>
      </w:r>
      <w:r>
        <w:rPr>
          <w:sz w:val="24"/>
          <w:szCs w:val="24"/>
          <w:u w:val="none"/>
        </w:rPr>
        <w:t xml:space="preserve">«   » </w:t>
      </w:r>
    </w:p>
    <w:p>
      <w:pPr>
        <w:pStyle w:val="Normal"/>
        <w:spacing w:lineRule="auto" w:line="240"/>
        <w:ind w:hanging="0" w:left="0"/>
        <w:jc w:val="both"/>
        <w:rPr>
          <w:sz w:val="24"/>
          <w:szCs w:val="24"/>
        </w:rPr>
      </w:pPr>
      <w:r>
        <w:rPr>
          <w:sz w:val="24"/>
          <w:szCs w:val="24"/>
        </w:rPr>
        <w:t xml:space="preserve"> </w:t>
      </w:r>
      <w:r>
        <w:rPr>
          <w:sz w:val="24"/>
          <w:szCs w:val="24"/>
        </w:rPr>
        <w:t>__________ 20___ г. Истечение срока действия договора не влечет прекращения неисполненных по нему обязательств.</w:t>
      </w:r>
    </w:p>
    <w:p>
      <w:pPr>
        <w:pStyle w:val="ListParagraph"/>
        <w:numPr>
          <w:ilvl w:val="1"/>
          <w:numId w:val="3"/>
        </w:numPr>
        <w:tabs>
          <w:tab w:val="clear" w:pos="708"/>
          <w:tab w:val="left" w:pos="1134" w:leader="none"/>
        </w:tabs>
        <w:ind w:firstLine="709" w:left="0"/>
        <w:jc w:val="both"/>
        <w:rPr/>
      </w:pPr>
      <w:r>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17.6 Договора. </w:t>
      </w:r>
    </w:p>
    <w:p>
      <w:pPr>
        <w:pStyle w:val="ListParagraph"/>
        <w:numPr>
          <w:ilvl w:val="1"/>
          <w:numId w:val="3"/>
        </w:numPr>
        <w:tabs>
          <w:tab w:val="clear" w:pos="708"/>
          <w:tab w:val="left" w:pos="1134" w:leader="none"/>
        </w:tabs>
        <w:ind w:firstLine="709" w:left="0"/>
        <w:jc w:val="both"/>
        <w:rPr/>
      </w:pPr>
      <w:r>
        <w:rPr/>
        <w:t>Все приложения к Договору, а также любые изменения и дополнения, оформленные надлежащим образом, являются неотъемлемой частью Договора.</w:t>
      </w:r>
    </w:p>
    <w:p>
      <w:pPr>
        <w:pStyle w:val="ListParagraph"/>
        <w:numPr>
          <w:ilvl w:val="1"/>
          <w:numId w:val="3"/>
        </w:numPr>
        <w:tabs>
          <w:tab w:val="clear" w:pos="708"/>
          <w:tab w:val="left" w:pos="1134" w:leader="none"/>
        </w:tabs>
        <w:ind w:firstLine="709" w:left="0"/>
        <w:jc w:val="both"/>
        <w:rPr/>
      </w:pPr>
      <w:r>
        <w:rPr/>
        <w:t>В случае наличия любых расхождений между содержанием Договора и приложений к нему, приоритет имеет текст Договора.</w:t>
      </w:r>
    </w:p>
    <w:p>
      <w:pPr>
        <w:pStyle w:val="ListParagraph"/>
        <w:numPr>
          <w:ilvl w:val="1"/>
          <w:numId w:val="3"/>
        </w:numPr>
        <w:tabs>
          <w:tab w:val="clear" w:pos="708"/>
          <w:tab w:val="left" w:pos="1134" w:leader="none"/>
        </w:tabs>
        <w:ind w:firstLine="709" w:left="0"/>
        <w:jc w:val="both"/>
        <w:rPr/>
      </w:pPr>
      <w:r>
        <w:rPr/>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17.7 Договора. Документы, переданные при совершении сделки, с использованием факсимильной или электронной связи признаются сторонами, как имеющие юридическую силу, до момента получения их оригинальных экземпляров.</w:t>
      </w:r>
    </w:p>
    <w:p>
      <w:pPr>
        <w:pStyle w:val="ListParagraph"/>
        <w:numPr>
          <w:ilvl w:val="1"/>
          <w:numId w:val="3"/>
        </w:numPr>
        <w:tabs>
          <w:tab w:val="clear" w:pos="708"/>
          <w:tab w:val="left" w:pos="1134" w:leader="none"/>
        </w:tabs>
        <w:ind w:firstLine="709" w:left="0"/>
        <w:jc w:val="both"/>
        <w:rPr/>
      </w:pPr>
      <w:r>
        <w:rPr/>
        <w:t xml:space="preserve">Стороны обязуются уведомлять друг друга об изменении адреса и / или реквизитов, указанных в разделе 19 Договора, не позднее 3 (трех) рабочих дней после такого </w:t>
      </w:r>
    </w:p>
    <w:p>
      <w:pPr>
        <w:pStyle w:val="Normal"/>
        <w:tabs>
          <w:tab w:val="clear" w:pos="708"/>
          <w:tab w:val="left" w:pos="1134" w:leader="none"/>
        </w:tabs>
        <w:spacing w:lineRule="auto" w:line="240"/>
        <w:ind w:hanging="0"/>
        <w:rPr>
          <w:sz w:val="24"/>
          <w:szCs w:val="24"/>
        </w:rPr>
      </w:pPr>
      <w:bookmarkStart w:id="40" w:name="_Ref361338004"/>
      <w:r>
        <w:rPr>
          <w:sz w:val="24"/>
          <w:szCs w:val="24"/>
        </w:rPr>
        <w:t>изменения в порядке, установленном пунктом 17.7 Договора.</w:t>
      </w:r>
      <w:bookmarkEnd w:id="40"/>
      <w:r>
        <w:rPr>
          <w:sz w:val="24"/>
          <w:szCs w:val="24"/>
        </w:rPr>
        <w:t xml:space="preserve"> </w:t>
      </w:r>
    </w:p>
    <w:p>
      <w:pPr>
        <w:pStyle w:val="ListParagraph"/>
        <w:numPr>
          <w:ilvl w:val="1"/>
          <w:numId w:val="3"/>
        </w:numPr>
        <w:tabs>
          <w:tab w:val="clear" w:pos="708"/>
          <w:tab w:val="left" w:pos="1134" w:leader="none"/>
        </w:tabs>
        <w:ind w:firstLine="709" w:left="0"/>
        <w:jc w:val="both"/>
        <w:rPr>
          <w:bCs/>
        </w:rPr>
      </w:pPr>
      <w:bookmarkStart w:id="41" w:name="_Ref361338019"/>
      <w:r>
        <w:rPr/>
        <w:t>Письма, уведомления и / или сообщения направляются Стороне-получателю по адресу ее места нахождения, указанному в разделе 19 Договора, или в ранее полученном уведомлении Стороны об изменении адреса, одним из следующих способов, при этом документ</w:t>
      </w:r>
      <w:r>
        <w:rPr>
          <w:bCs/>
        </w:rPr>
        <w:t xml:space="preserve"> будет считаться полученным:</w:t>
      </w:r>
      <w:bookmarkEnd w:id="41"/>
    </w:p>
    <w:p>
      <w:pPr>
        <w:pStyle w:val="ListParagraph"/>
        <w:numPr>
          <w:ilvl w:val="2"/>
          <w:numId w:val="3"/>
        </w:numPr>
        <w:tabs>
          <w:tab w:val="clear" w:pos="708"/>
          <w:tab w:val="left" w:pos="1701" w:leader="none"/>
        </w:tabs>
        <w:ind w:firstLine="709" w:left="0"/>
        <w:jc w:val="both"/>
        <w:rPr>
          <w:bCs/>
        </w:rPr>
      </w:pPr>
      <w:r>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pPr>
        <w:pStyle w:val="ListParagraph"/>
        <w:numPr>
          <w:ilvl w:val="2"/>
          <w:numId w:val="3"/>
        </w:numPr>
        <w:tabs>
          <w:tab w:val="clear" w:pos="708"/>
          <w:tab w:val="left" w:pos="1701" w:leader="none"/>
        </w:tabs>
        <w:ind w:firstLine="709" w:left="0"/>
        <w:jc w:val="both"/>
        <w:rPr>
          <w:bCs/>
        </w:rPr>
      </w:pPr>
      <w:bookmarkStart w:id="42" w:name="_Ref361338032"/>
      <w:r>
        <w:rPr>
          <w:bCs/>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42"/>
    </w:p>
    <w:p>
      <w:pPr>
        <w:pStyle w:val="ListParagraph"/>
        <w:numPr>
          <w:ilvl w:val="2"/>
          <w:numId w:val="3"/>
        </w:numPr>
        <w:tabs>
          <w:tab w:val="clear" w:pos="708"/>
          <w:tab w:val="left" w:pos="1701" w:leader="none"/>
        </w:tabs>
        <w:ind w:firstLine="709" w:left="0"/>
        <w:jc w:val="both"/>
        <w:rPr>
          <w:bCs/>
        </w:rPr>
      </w:pPr>
      <w:r>
        <w:rPr>
          <w:bCs/>
          <w:sz w:val="24"/>
          <w:szCs w:val="24"/>
        </w:rPr>
        <w:t xml:space="preserve">Электронной   почтой   –   в   дату   и   время   отправления,    подтвержденного </w:t>
      </w:r>
      <w:r>
        <w:rPr>
          <w:bCs/>
        </w:rPr>
        <w:t xml:space="preserve">протоколом передачи, распечатанным со Стороны-отправителя. В случае, если передача сообщения осуществляется вне обычных рабочих часов Стороны-получателя, документ будет считаться полученным в 10.00 следующего рабочего дня.  </w:t>
      </w:r>
    </w:p>
    <w:p>
      <w:pPr>
        <w:pStyle w:val="ListParagraph"/>
        <w:tabs>
          <w:tab w:val="clear" w:pos="708"/>
          <w:tab w:val="left" w:pos="1701" w:leader="none"/>
        </w:tabs>
        <w:ind w:firstLine="709" w:left="0"/>
        <w:jc w:val="both"/>
        <w:rPr>
          <w:bCs/>
        </w:rPr>
      </w:pPr>
      <w:r>
        <w:rPr/>
        <w:t>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17.7.1. – 17.7.2. Договора.</w:t>
      </w:r>
      <w:r>
        <w:rPr>
          <w:bCs/>
        </w:rPr>
        <w:t xml:space="preserve"> </w:t>
      </w:r>
    </w:p>
    <w:p>
      <w:pPr>
        <w:pStyle w:val="Normal"/>
        <w:numPr>
          <w:ilvl w:val="1"/>
          <w:numId w:val="3"/>
        </w:numPr>
        <w:spacing w:lineRule="auto" w:line="240"/>
        <w:ind w:firstLine="709" w:left="0"/>
        <w:rPr>
          <w:bCs/>
          <w:sz w:val="24"/>
          <w:szCs w:val="24"/>
        </w:rPr>
      </w:pPr>
      <w:r>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pPr>
        <w:pStyle w:val="ListParagraph"/>
        <w:numPr>
          <w:ilvl w:val="1"/>
          <w:numId w:val="3"/>
        </w:numPr>
        <w:tabs>
          <w:tab w:val="clear" w:pos="708"/>
          <w:tab w:val="left" w:pos="568" w:leader="none"/>
        </w:tabs>
        <w:ind w:firstLine="709" w:left="0"/>
        <w:jc w:val="both"/>
        <w:rPr>
          <w:bCs/>
        </w:rPr>
      </w:pPr>
      <w:r>
        <w:rPr/>
        <w:t>Уступка, передача в залог прав (требований), принадлежащих Подрядчику на основании Договора, допускается только с предварительного письменного согласия Заказчика</w:t>
      </w:r>
      <w:r>
        <w:rPr>
          <w:bCs/>
        </w:rPr>
        <w:t>.</w:t>
      </w:r>
      <w:r>
        <w:rPr/>
        <w:t xml:space="preserve"> </w:t>
      </w:r>
    </w:p>
    <w:p>
      <w:pPr>
        <w:pStyle w:val="ListParagraph"/>
        <w:numPr>
          <w:ilvl w:val="1"/>
          <w:numId w:val="3"/>
        </w:numPr>
        <w:tabs>
          <w:tab w:val="clear" w:pos="708"/>
          <w:tab w:val="left" w:pos="1134" w:leader="none"/>
        </w:tabs>
        <w:ind w:firstLine="709" w:left="0"/>
        <w:jc w:val="both"/>
        <w:rPr/>
      </w:pPr>
      <w:r>
        <w:rPr/>
        <w:t xml:space="preserve"> </w:t>
      </w:r>
      <w:r>
        <w:rPr/>
        <w:t xml:space="preserve">Стороны </w:t>
      </w:r>
      <w:r>
        <w:rPr>
          <w:bCs/>
          <w:sz w:val="24"/>
          <w:szCs w:val="24"/>
        </w:rPr>
        <w:t>договорились в рамках исполнения Договора о возможности применения электронного документооборота, руководствуясь действующим законодательством Российской Федерации, Правилами операторов систем электронного документооборота (аккредитованных ФНС РФ), с которыми у Сторон заключены соответствующие Соглашения, а также Регламентами предоставления услуг Операторов Удостоверяющих центров. Передача электронных документов осуществляется через АО «ПФ «СКБ Контур» с использованием web-решения Диадок (https://www.diadoc.ru/). В случае использования Подрядчиком другого оператора электронного документооборота (аккредитованного ФНС РФ), Заказчик, при наличии технической возможности у используемых Заказчиком операторов, инициирует настройку роуминга между операторами систем электронного документооборота Стор</w:t>
      </w:r>
      <w:r>
        <w:rPr/>
        <w:t>он.</w:t>
      </w:r>
    </w:p>
    <w:p>
      <w:pPr>
        <w:pStyle w:val="ListParagraph"/>
        <w:numPr>
          <w:ilvl w:val="1"/>
          <w:numId w:val="3"/>
        </w:numPr>
        <w:spacing w:lineRule="atLeast" w:line="22"/>
        <w:ind w:firstLine="709" w:left="0"/>
        <w:jc w:val="both"/>
        <w:rPr>
          <w:sz w:val="32"/>
        </w:rPr>
      </w:pPr>
      <w:r>
        <w:rPr>
          <w:szCs w:val="20"/>
        </w:rPr>
        <w:t>Настоящий Договор заключается в электронной форме с использованием программно-аппаратных средств электронной торговой площадки путем его подписания усиленными квалифицированными электронными подписями уполномоченных представителей Сторон.</w:t>
      </w:r>
    </w:p>
    <w:p>
      <w:pPr>
        <w:pStyle w:val="ListParagraph"/>
        <w:numPr>
          <w:ilvl w:val="1"/>
          <w:numId w:val="3"/>
        </w:numPr>
        <w:spacing w:lineRule="atLeast" w:line="22"/>
        <w:ind w:firstLine="709" w:left="0"/>
        <w:jc w:val="both"/>
        <w:rPr>
          <w:sz w:val="32"/>
        </w:rPr>
      </w:pPr>
      <w:r>
        <w:rPr>
          <w:szCs w:val="20"/>
        </w:rPr>
        <w:t>Во всем остальном, что не урегулировано Договором, Стороны руководствуются законодательством Российской Федерации.</w:t>
      </w:r>
    </w:p>
    <w:p>
      <w:pPr>
        <w:pStyle w:val="Normal"/>
        <w:spacing w:lineRule="atLeast" w:line="17"/>
        <w:ind w:hanging="0" w:left="709"/>
        <w:jc w:val="both"/>
        <w:rPr>
          <w:sz w:val="32"/>
          <w:szCs w:val="32"/>
        </w:rPr>
      </w:pPr>
      <w:r>
        <w:rPr>
          <w:sz w:val="32"/>
          <w:szCs w:val="32"/>
        </w:rPr>
      </w:r>
    </w:p>
    <w:p>
      <w:pPr>
        <w:pStyle w:val="ListParagraph"/>
        <w:numPr>
          <w:ilvl w:val="0"/>
          <w:numId w:val="3"/>
        </w:numPr>
        <w:tabs>
          <w:tab w:val="clear" w:pos="708"/>
          <w:tab w:val="left" w:pos="426" w:leader="none"/>
        </w:tabs>
        <w:ind w:hanging="0" w:left="0"/>
        <w:jc w:val="center"/>
        <w:rPr>
          <w:b/>
          <w:bCs/>
        </w:rPr>
      </w:pPr>
      <w:r>
        <w:rPr>
          <w:b/>
          <w:bCs/>
        </w:rPr>
        <w:t>Список приложений</w:t>
      </w:r>
    </w:p>
    <w:p>
      <w:pPr>
        <w:pStyle w:val="ListParagraph"/>
        <w:ind w:hanging="0" w:left="0"/>
        <w:rPr/>
      </w:pPr>
      <w:r>
        <w:rPr/>
        <w:t xml:space="preserve">Приложение № 1 – </w:t>
      </w:r>
      <w:r>
        <w:rPr>
          <w:bCs/>
        </w:rPr>
        <w:t>Технические требования</w:t>
      </w:r>
      <w:r>
        <w:rPr/>
        <w:t>;</w:t>
      </w:r>
    </w:p>
    <w:p>
      <w:pPr>
        <w:pStyle w:val="ListParagraph"/>
        <w:ind w:hanging="0" w:left="0"/>
        <w:rPr/>
      </w:pPr>
      <w:r>
        <w:rPr/>
        <w:t>Приложение № 1.1 – Задание на проектирование;</w:t>
      </w:r>
    </w:p>
    <w:p>
      <w:pPr>
        <w:pStyle w:val="ListParagraph"/>
        <w:ind w:hanging="0" w:left="0"/>
        <w:rPr/>
      </w:pPr>
      <w:r>
        <w:rPr/>
        <w:t>Приложение № 2 -   График производства и финансирования работ;</w:t>
      </w:r>
    </w:p>
    <w:p>
      <w:pPr>
        <w:pStyle w:val="ListParagraph"/>
        <w:ind w:hanging="0" w:left="0"/>
        <w:jc w:val="both"/>
        <w:rPr>
          <w:color w:themeColor="text1" w:val="000000"/>
        </w:rPr>
      </w:pPr>
      <w:r>
        <w:rPr/>
        <w:t xml:space="preserve">Приложение № 3 –   </w:t>
      </w:r>
      <w:r>
        <w:rPr>
          <w:color w:themeColor="text1" w:val="000000"/>
        </w:rPr>
        <w:t>Сводный сметный расчет стоимости строительства;</w:t>
      </w:r>
    </w:p>
    <w:p>
      <w:pPr>
        <w:pStyle w:val="ListParagraph"/>
        <w:ind w:hanging="0" w:left="0"/>
        <w:jc w:val="both"/>
        <w:rPr>
          <w:color w:themeColor="text1" w:val="000000"/>
        </w:rPr>
      </w:pPr>
      <w:r>
        <w:rPr>
          <w:color w:themeColor="text1" w:val="000000"/>
        </w:rPr>
        <w:t>Приложение № 3.1 – Смета на проектные работы;</w:t>
      </w:r>
    </w:p>
    <w:p>
      <w:pPr>
        <w:pStyle w:val="ListParagraph"/>
        <w:ind w:hanging="0" w:left="0"/>
        <w:jc w:val="both"/>
        <w:rPr/>
      </w:pPr>
      <w:r>
        <w:rPr/>
        <w:t>Приложение № 4 – Форма Акта сдачи-приемки места производства работ;</w:t>
      </w:r>
    </w:p>
    <w:p>
      <w:pPr>
        <w:pStyle w:val="ListParagraph"/>
        <w:ind w:hanging="0" w:left="0"/>
        <w:jc w:val="both"/>
        <w:rPr/>
      </w:pPr>
      <w:r>
        <w:rPr/>
        <w:t>Приложение № 4.1 –  Форма Акта сдачи-приемки технической и иной документации;</w:t>
      </w:r>
    </w:p>
    <w:p>
      <w:pPr>
        <w:pStyle w:val="ListParagraph"/>
        <w:ind w:hanging="0" w:left="0"/>
        <w:jc w:val="both"/>
        <w:rPr/>
      </w:pPr>
      <w:r>
        <w:rPr/>
        <w:t xml:space="preserve">Приложение № 5 –    Перечень допусков, разрешений и лицензий Подрядчика; </w:t>
      </w:r>
    </w:p>
    <w:p>
      <w:pPr>
        <w:pStyle w:val="ListParagraph"/>
        <w:ind w:hanging="0" w:left="0"/>
        <w:jc w:val="both"/>
        <w:rPr/>
      </w:pPr>
      <w:r>
        <w:rPr/>
        <w:t>Приложение № 6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pPr>
        <w:pStyle w:val="ListParagraph"/>
        <w:ind w:hanging="0" w:left="0"/>
        <w:jc w:val="both"/>
        <w:rPr/>
      </w:pPr>
      <w:r>
        <w:rPr/>
        <w:t>Приложение № 7 –  Акт нарушения ОТ (форма);</w:t>
      </w:r>
    </w:p>
    <w:p>
      <w:pPr>
        <w:pStyle w:val="ListParagraph"/>
        <w:ind w:hanging="0" w:left="0"/>
        <w:jc w:val="both"/>
        <w:rPr/>
      </w:pPr>
      <w:r>
        <w:rPr/>
        <w:t xml:space="preserve">Приложение № 8 – Перечень исполнительной документации; </w:t>
      </w:r>
    </w:p>
    <w:p>
      <w:pPr>
        <w:pStyle w:val="ListParagraph"/>
        <w:ind w:hanging="0" w:left="0"/>
        <w:jc w:val="both"/>
        <w:rPr/>
      </w:pPr>
      <w:r>
        <w:rPr/>
        <w:t>Приложение № 9 – Форма Акта сдачи-приемки Проектных работ;</w:t>
      </w:r>
    </w:p>
    <w:p>
      <w:pPr>
        <w:pStyle w:val="ListParagraph"/>
        <w:ind w:hanging="0" w:left="0"/>
        <w:jc w:val="both"/>
        <w:rPr/>
      </w:pPr>
      <w:r>
        <w:rPr/>
        <w:t xml:space="preserve">Приложение № 10 –   Форма  письма о допуске персонала; </w:t>
      </w:r>
    </w:p>
    <w:p>
      <w:pPr>
        <w:pStyle w:val="ListParagraph"/>
        <w:ind w:hanging="0" w:left="0"/>
        <w:jc w:val="both"/>
        <w:rPr/>
      </w:pPr>
      <w:r>
        <w:rPr/>
        <w:t xml:space="preserve">Приложение № 11 – Форма Акта освидетельствования выполненных работ; </w:t>
      </w:r>
    </w:p>
    <w:p>
      <w:pPr>
        <w:pStyle w:val="ListParagraph"/>
        <w:ind w:hanging="0" w:left="0"/>
        <w:jc w:val="both"/>
        <w:rPr/>
      </w:pPr>
      <w:r>
        <w:rPr/>
        <w:t>Приложение № 12 – Порядок осуществления контроля соответствия показателей качества приобретаемых (используемых) Подрядчиком материалов, изделий конструкций и</w:t>
      </w:r>
    </w:p>
    <w:p>
      <w:pPr>
        <w:pStyle w:val="ListParagraph"/>
        <w:ind w:hanging="0" w:left="0"/>
        <w:jc w:val="both"/>
        <w:rPr/>
      </w:pPr>
      <w:r>
        <w:rPr/>
        <w:t xml:space="preserve">оборудования требованиям стандартов, технических условий или технических свидетельств на них, указанных в проектной документации и (или) договоре подряда на строительство (реконструкцию) объекта; </w:t>
      </w:r>
    </w:p>
    <w:p>
      <w:pPr>
        <w:pStyle w:val="ListParagraph"/>
        <w:ind w:hanging="0" w:left="0"/>
        <w:jc w:val="both"/>
        <w:rPr/>
      </w:pPr>
      <w:r>
        <w:rPr/>
        <w:t>Приложение № 13 – Форма КС-2;</w:t>
      </w:r>
    </w:p>
    <w:p>
      <w:pPr>
        <w:pStyle w:val="ListParagraph"/>
        <w:ind w:hanging="0" w:left="0"/>
        <w:jc w:val="both"/>
        <w:rPr/>
      </w:pPr>
      <w:r>
        <w:rPr/>
        <w:t>Приложение № 14 – Форма КС-3;</w:t>
      </w:r>
    </w:p>
    <w:p>
      <w:pPr>
        <w:pStyle w:val="ListParagraph"/>
        <w:ind w:hanging="0" w:left="0"/>
        <w:jc w:val="both"/>
        <w:rPr/>
      </w:pPr>
      <w:r>
        <w:rPr/>
        <w:t>Приложение № 15 – Форма КС-11;</w:t>
      </w:r>
    </w:p>
    <w:p>
      <w:pPr>
        <w:pStyle w:val="ListParagraph"/>
        <w:ind w:hanging="0" w:left="0"/>
        <w:jc w:val="both"/>
        <w:rPr/>
      </w:pPr>
      <w:r>
        <w:rPr/>
        <w:t>Приложение № 16 – Форма счета на оплату;</w:t>
      </w:r>
    </w:p>
    <w:p>
      <w:pPr>
        <w:pStyle w:val="ListParagraph"/>
        <w:ind w:hanging="0" w:left="0"/>
        <w:jc w:val="both"/>
        <w:rPr/>
      </w:pPr>
      <w:r>
        <w:rPr/>
        <w:t>Приложение № 17 –</w:t>
        <w:tab/>
        <w:t>Форма Независимой гарантии;</w:t>
      </w:r>
    </w:p>
    <w:p>
      <w:pPr>
        <w:pStyle w:val="ListParagraph"/>
        <w:ind w:hanging="0" w:left="0"/>
        <w:jc w:val="both"/>
        <w:rPr/>
      </w:pPr>
      <w:r>
        <w:rPr/>
        <w:t>Приложение № 18 - Форма требования об уплате денежной суммы по независимой гарантии;</w:t>
      </w:r>
    </w:p>
    <w:p>
      <w:pPr>
        <w:pStyle w:val="ListParagraph"/>
        <w:spacing w:lineRule="atLeast" w:line="22"/>
        <w:ind w:hanging="0" w:left="0"/>
        <w:jc w:val="both"/>
        <w:rPr/>
      </w:pPr>
      <w:r>
        <w:rPr/>
        <w:t>Приложение № 19 –   Порядок представления и согласования ИД на выполненные работы;</w:t>
      </w:r>
    </w:p>
    <w:p>
      <w:pPr>
        <w:pStyle w:val="ListParagraph"/>
        <w:spacing w:lineRule="atLeast" w:line="22"/>
        <w:ind w:hanging="0" w:left="0"/>
        <w:jc w:val="both"/>
        <w:rPr/>
      </w:pPr>
      <w:r>
        <w:rPr/>
        <w:t>Приложение№ 19.1 -   Форма Реестра исполнительной документации Р-1;</w:t>
      </w:r>
    </w:p>
    <w:p>
      <w:pPr>
        <w:pStyle w:val="ListParagraph"/>
        <w:spacing w:lineRule="atLeast" w:line="22"/>
        <w:ind w:hanging="0" w:left="0"/>
        <w:jc w:val="both"/>
        <w:rPr/>
      </w:pPr>
      <w:r>
        <w:rPr/>
        <w:t>Приложение№ 19.2 -   Форма Реестра исполнительной документации Р-2;</w:t>
      </w:r>
    </w:p>
    <w:p>
      <w:pPr>
        <w:pStyle w:val="ListParagraph"/>
        <w:ind w:hanging="0" w:left="0"/>
        <w:jc w:val="both"/>
        <w:rPr/>
      </w:pPr>
      <w:r>
        <w:rPr/>
      </w:r>
    </w:p>
    <w:p>
      <w:pPr>
        <w:pStyle w:val="ListParagraph"/>
        <w:ind w:hanging="0" w:left="0"/>
        <w:jc w:val="both"/>
        <w:rPr/>
      </w:pPr>
      <w:r>
        <w:rPr/>
      </w:r>
    </w:p>
    <w:p>
      <w:pPr>
        <w:pStyle w:val="ListParagraph"/>
        <w:ind w:hanging="0" w:left="0"/>
        <w:jc w:val="both"/>
        <w:rPr/>
      </w:pPr>
      <w:r>
        <w:rPr/>
      </w:r>
    </w:p>
    <w:p>
      <w:pPr>
        <w:pStyle w:val="ListParagraph"/>
        <w:ind w:hanging="0" w:left="0"/>
        <w:jc w:val="both"/>
        <w:rPr/>
      </w:pPr>
      <w:r>
        <w:rPr/>
      </w:r>
    </w:p>
    <w:p>
      <w:pPr>
        <w:pStyle w:val="ListParagraph"/>
        <w:numPr>
          <w:ilvl w:val="0"/>
          <w:numId w:val="3"/>
        </w:numPr>
        <w:tabs>
          <w:tab w:val="clear" w:pos="708"/>
          <w:tab w:val="left" w:pos="426" w:leader="none"/>
        </w:tabs>
        <w:ind w:hanging="0" w:left="0"/>
        <w:jc w:val="center"/>
        <w:rPr>
          <w:b/>
          <w:bCs/>
        </w:rPr>
      </w:pPr>
      <w:r>
        <w:rPr>
          <w:b/>
          <w:bCs/>
        </w:rPr>
        <w:t>Адреса и платежные реквизиты Сторон</w:t>
      </w:r>
    </w:p>
    <w:p>
      <w:pPr>
        <w:pStyle w:val="Normal"/>
        <w:spacing w:lineRule="auto" w:line="240"/>
        <w:ind w:hanging="0" w:left="5103"/>
        <w:rPr>
          <w:sz w:val="24"/>
          <w:szCs w:val="24"/>
        </w:rPr>
      </w:pPr>
      <w:r>
        <w:rPr>
          <w:sz w:val="24"/>
          <w:szCs w:val="24"/>
        </w:rPr>
      </w:r>
    </w:p>
    <w:tbl>
      <w:tblPr>
        <w:tblW w:w="9944" w:type="dxa"/>
        <w:jc w:val="left"/>
        <w:tblInd w:w="109" w:type="dxa"/>
        <w:tblLayout w:type="fixed"/>
        <w:tblCellMar>
          <w:top w:w="0" w:type="dxa"/>
          <w:left w:w="108" w:type="dxa"/>
          <w:bottom w:w="0" w:type="dxa"/>
          <w:right w:w="108" w:type="dxa"/>
        </w:tblCellMar>
        <w:tblLook w:val="0000" w:noHBand="0" w:noVBand="0" w:firstColumn="0" w:lastRow="0" w:lastColumn="0" w:firstRow="0"/>
      </w:tblPr>
      <w:tblGrid>
        <w:gridCol w:w="5103"/>
        <w:gridCol w:w="4840"/>
      </w:tblGrid>
      <w:tr>
        <w:trPr>
          <w:trHeight w:val="792" w:hRule="atLeast"/>
        </w:trPr>
        <w:tc>
          <w:tcPr>
            <w:tcW w:w="5103" w:type="dxa"/>
            <w:tcBorders/>
          </w:tcPr>
          <w:p>
            <w:pPr>
              <w:pStyle w:val="Normal"/>
              <w:spacing w:lineRule="auto" w:line="276"/>
              <w:ind w:hanging="0"/>
              <w:jc w:val="left"/>
              <w:rPr>
                <w:b/>
                <w:sz w:val="24"/>
                <w:szCs w:val="24"/>
              </w:rPr>
            </w:pPr>
            <w:r>
              <w:rPr>
                <w:sz w:val="24"/>
                <w:szCs w:val="24"/>
              </w:rPr>
              <w:t xml:space="preserve">                         </w:t>
            </w:r>
            <w:r>
              <w:rPr>
                <w:b/>
                <w:sz w:val="24"/>
                <w:szCs w:val="24"/>
              </w:rPr>
              <w:t>Заказчик:</w:t>
            </w:r>
          </w:p>
          <w:p>
            <w:pPr>
              <w:pStyle w:val="Normal"/>
              <w:shd w:val="clear" w:color="auto" w:fill="FFFFFF"/>
              <w:spacing w:lineRule="auto" w:line="240"/>
              <w:ind w:firstLine="29" w:left="-68" w:right="79"/>
              <w:rPr>
                <w:b/>
                <w:color w:val="000000"/>
                <w:sz w:val="24"/>
              </w:rPr>
            </w:pPr>
            <w:r>
              <w:rPr>
                <w:b/>
                <w:color w:val="000000"/>
                <w:sz w:val="24"/>
              </w:rPr>
              <w:t>АО «ДГК»</w:t>
            </w:r>
          </w:p>
          <w:p>
            <w:pPr>
              <w:pStyle w:val="Normal"/>
              <w:spacing w:lineRule="auto" w:line="240"/>
              <w:ind w:hanging="0" w:left="-68"/>
              <w:rPr>
                <w:sz w:val="24"/>
              </w:rPr>
            </w:pPr>
            <w:r>
              <w:rPr>
                <w:sz w:val="24"/>
              </w:rPr>
              <w:t>Место нахождения: РФ, Хабаровск</w:t>
            </w:r>
          </w:p>
          <w:p>
            <w:pPr>
              <w:pStyle w:val="Normal"/>
              <w:spacing w:lineRule="auto" w:line="240"/>
              <w:ind w:hanging="0" w:left="-68"/>
              <w:rPr>
                <w:sz w:val="24"/>
              </w:rPr>
            </w:pPr>
            <w:r>
              <w:rPr>
                <w:sz w:val="24"/>
              </w:rPr>
              <w:t>Адрес: 680000, Хабаровский край, г. Хабаровск, ул. Фрунзе, 49</w:t>
            </w:r>
          </w:p>
          <w:p>
            <w:pPr>
              <w:pStyle w:val="Normal"/>
              <w:shd w:val="clear" w:color="auto" w:fill="FFFFFF"/>
              <w:spacing w:lineRule="auto" w:line="240"/>
              <w:ind w:firstLine="29" w:left="-68" w:right="79"/>
              <w:rPr>
                <w:color w:val="000000"/>
                <w:sz w:val="24"/>
              </w:rPr>
            </w:pPr>
            <w:r>
              <w:rPr>
                <w:color w:val="000000"/>
                <w:sz w:val="24"/>
              </w:rPr>
            </w:r>
          </w:p>
          <w:p>
            <w:pPr>
              <w:pStyle w:val="Normal"/>
              <w:shd w:val="clear" w:color="auto" w:fill="FFFFFF"/>
              <w:spacing w:lineRule="auto" w:line="240"/>
              <w:ind w:firstLine="29" w:left="-68" w:right="79"/>
              <w:rPr>
                <w:color w:val="000000"/>
                <w:sz w:val="24"/>
              </w:rPr>
            </w:pPr>
            <w:r>
              <w:rPr>
                <w:color w:val="000000"/>
                <w:sz w:val="24"/>
              </w:rPr>
              <w:t>ИНН 1434031363 КПП 997650001</w:t>
            </w:r>
          </w:p>
          <w:p>
            <w:pPr>
              <w:pStyle w:val="Normal"/>
              <w:shd w:val="clear" w:color="auto" w:fill="FFFFFF"/>
              <w:spacing w:lineRule="auto" w:line="240"/>
              <w:ind w:firstLine="29" w:left="-68" w:right="79"/>
              <w:rPr>
                <w:color w:val="000000"/>
                <w:sz w:val="24"/>
              </w:rPr>
            </w:pPr>
            <w:r>
              <w:rPr>
                <w:color w:val="000000"/>
                <w:sz w:val="24"/>
              </w:rPr>
              <w:t>ОГРН 1051401746769</w:t>
            </w:r>
          </w:p>
          <w:p>
            <w:pPr>
              <w:pStyle w:val="Normal"/>
              <w:shd w:val="clear" w:color="auto" w:fill="FFFFFF"/>
              <w:spacing w:lineRule="auto" w:line="240"/>
              <w:ind w:firstLine="29" w:left="-68" w:right="79"/>
              <w:rPr>
                <w:color w:val="000000"/>
                <w:sz w:val="24"/>
              </w:rPr>
            </w:pPr>
            <w:r>
              <w:rPr>
                <w:color w:val="000000"/>
                <w:sz w:val="24"/>
              </w:rPr>
              <w:t>Дальневосточный Банк ПАО «Сбербанк России» г. Хабаровск</w:t>
            </w:r>
          </w:p>
          <w:p>
            <w:pPr>
              <w:pStyle w:val="Normal"/>
              <w:shd w:val="clear" w:color="auto" w:fill="FFFFFF"/>
              <w:spacing w:lineRule="auto" w:line="240"/>
              <w:ind w:firstLine="29" w:left="-68" w:right="79"/>
              <w:rPr>
                <w:color w:val="000000"/>
                <w:sz w:val="24"/>
              </w:rPr>
            </w:pPr>
            <w:r>
              <w:rPr>
                <w:color w:val="000000"/>
                <w:sz w:val="24"/>
              </w:rPr>
              <w:t>р/сч 40702810270000008818</w:t>
            </w:r>
          </w:p>
          <w:p>
            <w:pPr>
              <w:pStyle w:val="Normal"/>
              <w:shd w:val="clear" w:color="auto" w:fill="FFFFFF"/>
              <w:spacing w:lineRule="auto" w:line="240"/>
              <w:ind w:firstLine="29" w:left="-68" w:right="79"/>
              <w:rPr>
                <w:color w:val="000000"/>
                <w:sz w:val="24"/>
              </w:rPr>
            </w:pPr>
            <w:r>
              <w:rPr>
                <w:color w:val="000000"/>
                <w:sz w:val="24"/>
              </w:rPr>
              <w:t>к/сч 30101810600000000608</w:t>
            </w:r>
          </w:p>
          <w:p>
            <w:pPr>
              <w:pStyle w:val="Normal"/>
              <w:shd w:val="clear" w:color="auto" w:fill="FFFFFF"/>
              <w:spacing w:lineRule="auto" w:line="240"/>
              <w:ind w:firstLine="29" w:left="-68" w:right="79"/>
              <w:rPr>
                <w:color w:val="000000"/>
                <w:sz w:val="24"/>
              </w:rPr>
            </w:pPr>
            <w:r>
              <w:rPr>
                <w:color w:val="000000"/>
                <w:sz w:val="24"/>
              </w:rPr>
              <w:t>БИК 040813608</w:t>
            </w:r>
          </w:p>
          <w:p>
            <w:pPr>
              <w:pStyle w:val="Normal"/>
              <w:shd w:val="clear" w:color="auto" w:fill="FFFFFF"/>
              <w:spacing w:lineRule="auto" w:line="240"/>
              <w:ind w:firstLine="29" w:left="-68" w:right="79"/>
              <w:rPr>
                <w:b/>
                <w:color w:val="000000"/>
                <w:sz w:val="24"/>
              </w:rPr>
            </w:pPr>
            <w:r>
              <w:rPr>
                <w:b/>
                <w:color w:val="000000"/>
                <w:sz w:val="24"/>
              </w:rPr>
              <w:t>СП «Амурские тепловые сети»</w:t>
            </w:r>
          </w:p>
          <w:p>
            <w:pPr>
              <w:pStyle w:val="Normal"/>
              <w:shd w:val="clear" w:color="auto" w:fill="FFFFFF"/>
              <w:spacing w:lineRule="auto" w:line="240"/>
              <w:ind w:firstLine="29" w:left="-68" w:right="79"/>
              <w:rPr>
                <w:color w:val="000000"/>
                <w:sz w:val="24"/>
              </w:rPr>
            </w:pPr>
            <w:r>
              <w:rPr>
                <w:color w:val="000000"/>
                <w:sz w:val="24"/>
              </w:rPr>
              <w:t>Адрес для корреспонденции:</w:t>
            </w:r>
          </w:p>
          <w:p>
            <w:pPr>
              <w:pStyle w:val="Normal"/>
              <w:shd w:val="clear" w:color="auto" w:fill="FFFFFF"/>
              <w:spacing w:lineRule="auto" w:line="240"/>
              <w:ind w:hanging="0" w:left="-68" w:right="79"/>
              <w:rPr>
                <w:color w:val="000000"/>
                <w:sz w:val="24"/>
              </w:rPr>
            </w:pPr>
            <w:r>
              <w:rPr>
                <w:color w:val="000000"/>
                <w:sz w:val="24"/>
              </w:rPr>
              <w:t>675007, Амурская область, г. Благовещенск, ул.   Нагорная, 19</w:t>
            </w:r>
          </w:p>
          <w:p>
            <w:pPr>
              <w:pStyle w:val="Normal"/>
              <w:shd w:val="clear" w:color="auto" w:fill="FFFFFF"/>
              <w:spacing w:lineRule="auto" w:line="240"/>
              <w:ind w:firstLine="29" w:left="-68" w:right="79"/>
              <w:rPr>
                <w:color w:val="000000"/>
                <w:sz w:val="24"/>
              </w:rPr>
            </w:pPr>
            <w:r>
              <w:rPr>
                <w:color w:val="000000"/>
                <w:sz w:val="24"/>
              </w:rPr>
              <w:t>ИНН 1434031363 КПП 280145002</w:t>
            </w:r>
          </w:p>
          <w:p>
            <w:pPr>
              <w:pStyle w:val="Normal"/>
              <w:shd w:val="clear" w:color="auto" w:fill="FFFFFF"/>
              <w:spacing w:lineRule="auto" w:line="240"/>
              <w:ind w:firstLine="29" w:left="-68" w:right="79"/>
              <w:rPr>
                <w:color w:val="000000"/>
                <w:sz w:val="24"/>
              </w:rPr>
            </w:pPr>
            <w:r>
              <w:rPr>
                <w:color w:val="000000"/>
                <w:sz w:val="24"/>
              </w:rPr>
              <w:t>ОКПО 86775182 ОКТМО 1070100001</w:t>
            </w:r>
          </w:p>
          <w:p>
            <w:pPr>
              <w:pStyle w:val="Normal"/>
              <w:shd w:val="clear" w:color="auto" w:fill="FFFFFF"/>
              <w:spacing w:lineRule="auto" w:line="240"/>
              <w:ind w:firstLine="29" w:left="-68" w:right="79"/>
              <w:rPr>
                <w:color w:val="000000"/>
                <w:sz w:val="24"/>
              </w:rPr>
            </w:pPr>
            <w:r>
              <w:rPr>
                <w:color w:val="000000"/>
                <w:sz w:val="24"/>
              </w:rPr>
              <w:t>ОКОГУ 4210014 ОКФС 16 ОКОПФ 30003</w:t>
            </w:r>
          </w:p>
          <w:p>
            <w:pPr>
              <w:pStyle w:val="Normal"/>
              <w:shd w:val="clear" w:color="auto" w:fill="FFFFFF"/>
              <w:spacing w:lineRule="auto" w:line="240"/>
              <w:ind w:firstLine="29" w:left="-68" w:right="79"/>
              <w:rPr>
                <w:color w:val="000000"/>
                <w:sz w:val="24"/>
              </w:rPr>
            </w:pPr>
            <w:r>
              <w:rPr>
                <w:color w:val="000000"/>
                <w:sz w:val="24"/>
              </w:rPr>
            </w:r>
          </w:p>
          <w:p>
            <w:pPr>
              <w:pStyle w:val="Normal"/>
              <w:shd w:val="clear" w:color="auto" w:fill="FFFFFF"/>
              <w:spacing w:lineRule="auto" w:line="240"/>
              <w:ind w:hanging="5" w:left="-68" w:right="79"/>
              <w:rPr>
                <w:color w:val="000000"/>
                <w:sz w:val="24"/>
              </w:rPr>
            </w:pPr>
            <w:r>
              <w:rPr>
                <w:color w:val="000000"/>
                <w:sz w:val="24"/>
              </w:rPr>
              <w:t>Телефон 398-339 Факс 398-452</w:t>
            </w:r>
          </w:p>
          <w:p>
            <w:pPr>
              <w:pStyle w:val="Normal"/>
              <w:widowControl w:val="false"/>
              <w:tabs>
                <w:tab w:val="clear" w:pos="708"/>
                <w:tab w:val="left" w:pos="6036" w:leader="none"/>
              </w:tabs>
              <w:spacing w:lineRule="auto" w:line="240"/>
              <w:ind w:hanging="0" w:left="-68"/>
              <w:rPr>
                <w:color w:val="000000"/>
                <w:sz w:val="24"/>
                <w:lang w:val="en-US"/>
              </w:rPr>
            </w:pPr>
            <w:r>
              <w:rPr>
                <w:color w:val="000000"/>
                <w:sz w:val="24"/>
                <w:lang w:val="en-US"/>
              </w:rPr>
              <w:t xml:space="preserve">E-mail </w:t>
            </w:r>
            <w:hyperlink r:id="rId5" w:tgtFrame="mailto:doc-ats@dgk.ru">
              <w:r>
                <w:rPr>
                  <w:rStyle w:val="Hyperlink"/>
                  <w:sz w:val="24"/>
                  <w:lang w:val="en-US"/>
                </w:rPr>
                <w:t>doc-ats@dgk.ru</w:t>
              </w:r>
            </w:hyperlink>
          </w:p>
          <w:p>
            <w:pPr>
              <w:pStyle w:val="Normal"/>
              <w:widowControl w:val="false"/>
              <w:tabs>
                <w:tab w:val="clear" w:pos="708"/>
                <w:tab w:val="left" w:pos="6036" w:leader="none"/>
              </w:tabs>
              <w:spacing w:lineRule="auto" w:line="240"/>
              <w:ind w:hanging="0" w:left="-68"/>
              <w:rPr>
                <w:sz w:val="22"/>
                <w:szCs w:val="24"/>
                <w:lang w:val="en-US"/>
              </w:rPr>
            </w:pPr>
            <w:r>
              <w:rPr>
                <w:sz w:val="22"/>
                <w:szCs w:val="24"/>
                <w:lang w:val="en-US"/>
              </w:rPr>
            </w:r>
          </w:p>
          <w:p>
            <w:pPr>
              <w:pStyle w:val="Normal"/>
              <w:widowControl w:val="false"/>
              <w:tabs>
                <w:tab w:val="clear" w:pos="708"/>
                <w:tab w:val="left" w:pos="6036" w:leader="none"/>
              </w:tabs>
              <w:spacing w:lineRule="atLeast" w:line="21"/>
              <w:ind w:hanging="0" w:left="-68"/>
              <w:rPr>
                <w:sz w:val="24"/>
                <w:szCs w:val="24"/>
              </w:rPr>
            </w:pPr>
            <w:r>
              <w:rPr>
                <w:sz w:val="24"/>
                <w:szCs w:val="24"/>
              </w:rPr>
              <w:t>Директор СП</w:t>
            </w:r>
          </w:p>
          <w:p>
            <w:pPr>
              <w:pStyle w:val="Normal"/>
              <w:widowControl w:val="false"/>
              <w:spacing w:lineRule="atLeast" w:line="21"/>
              <w:ind w:hanging="0" w:left="-68"/>
              <w:rPr>
                <w:sz w:val="24"/>
                <w:szCs w:val="24"/>
              </w:rPr>
            </w:pPr>
            <w:r>
              <w:rPr>
                <w:sz w:val="24"/>
                <w:szCs w:val="24"/>
              </w:rPr>
              <w:t>«Амурские тепловые сети»</w:t>
            </w:r>
          </w:p>
          <w:p>
            <w:pPr>
              <w:pStyle w:val="Normal"/>
              <w:widowControl w:val="false"/>
              <w:spacing w:lineRule="atLeast" w:line="21"/>
              <w:ind w:hanging="0" w:left="-68"/>
              <w:rPr>
                <w:sz w:val="24"/>
                <w:szCs w:val="24"/>
              </w:rPr>
            </w:pPr>
            <w:r>
              <w:rPr>
                <w:sz w:val="24"/>
                <w:szCs w:val="24"/>
              </w:rPr>
              <w:t>_________________</w:t>
            </w:r>
          </w:p>
          <w:p>
            <w:pPr>
              <w:pStyle w:val="Normal"/>
              <w:widowControl w:val="false"/>
              <w:spacing w:lineRule="atLeast" w:line="21"/>
              <w:ind w:hanging="0" w:left="-68"/>
              <w:rPr>
                <w:sz w:val="24"/>
                <w:szCs w:val="24"/>
              </w:rPr>
            </w:pPr>
            <w:r>
              <w:rPr>
                <w:sz w:val="24"/>
                <w:szCs w:val="24"/>
              </w:rPr>
              <w:t>«_____» ______________ 2026 г.</w:t>
            </w:r>
          </w:p>
          <w:p>
            <w:pPr>
              <w:pStyle w:val="Normal"/>
              <w:widowControl w:val="false"/>
              <w:spacing w:lineRule="auto" w:line="240"/>
              <w:ind w:firstLine="33" w:left="426"/>
              <w:jc w:val="left"/>
              <w:rPr>
                <w:bCs/>
                <w:sz w:val="24"/>
                <w:szCs w:val="24"/>
              </w:rPr>
            </w:pPr>
            <w:r>
              <w:rPr>
                <w:color w:val="000000"/>
                <w:sz w:val="24"/>
                <w:szCs w:val="24"/>
              </w:rPr>
              <w:t>м.п.</w:t>
            </w:r>
          </w:p>
        </w:tc>
        <w:tc>
          <w:tcPr>
            <w:tcW w:w="4840" w:type="dxa"/>
            <w:tcBorders/>
          </w:tcPr>
          <w:p>
            <w:pPr>
              <w:pStyle w:val="Normal"/>
              <w:widowControl w:val="false"/>
              <w:tabs>
                <w:tab w:val="clear" w:pos="708"/>
                <w:tab w:val="left" w:pos="6036" w:leader="none"/>
              </w:tabs>
              <w:spacing w:lineRule="auto" w:line="240"/>
              <w:ind w:hanging="0" w:left="318"/>
              <w:rPr>
                <w:b/>
                <w:sz w:val="24"/>
                <w:szCs w:val="24"/>
              </w:rPr>
            </w:pPr>
            <w:r>
              <w:rPr>
                <w:sz w:val="24"/>
                <w:szCs w:val="24"/>
              </w:rPr>
              <w:t xml:space="preserve">                        </w:t>
            </w:r>
            <w:r>
              <w:rPr>
                <w:b/>
                <w:sz w:val="24"/>
                <w:szCs w:val="24"/>
              </w:rPr>
              <w:t>Подрядчик:</w:t>
            </w:r>
          </w:p>
          <w:p>
            <w:pPr>
              <w:pStyle w:val="Normal"/>
              <w:widowControl w:val="false"/>
              <w:tabs>
                <w:tab w:val="clear" w:pos="708"/>
                <w:tab w:val="left" w:pos="6036" w:leader="none"/>
              </w:tabs>
              <w:spacing w:lineRule="auto" w:line="240"/>
              <w:ind w:hanging="0"/>
              <w:jc w:val="right"/>
              <w:rPr>
                <w:sz w:val="24"/>
                <w:szCs w:val="24"/>
              </w:rPr>
            </w:pPr>
            <w:r>
              <w:rPr>
                <w:sz w:val="24"/>
                <w:szCs w:val="24"/>
              </w:rPr>
            </w:r>
          </w:p>
          <w:p>
            <w:pPr>
              <w:pStyle w:val="Normal"/>
              <w:widowControl w:val="false"/>
              <w:tabs>
                <w:tab w:val="clear" w:pos="708"/>
                <w:tab w:val="left" w:pos="6036" w:leader="none"/>
              </w:tabs>
              <w:spacing w:lineRule="auto" w:line="240"/>
              <w:ind w:hanging="0" w:left="885"/>
              <w:jc w:val="left"/>
              <w:rPr>
                <w:color w:val="000000"/>
                <w:sz w:val="24"/>
                <w:szCs w:val="24"/>
              </w:rPr>
            </w:pPr>
            <w:r>
              <w:rPr>
                <w:color w:val="000000"/>
                <w:sz w:val="24"/>
                <w:szCs w:val="24"/>
              </w:rPr>
            </w:r>
          </w:p>
          <w:p>
            <w:pPr>
              <w:pStyle w:val="Normal"/>
              <w:widowControl w:val="false"/>
              <w:tabs>
                <w:tab w:val="clear" w:pos="708"/>
                <w:tab w:val="left" w:pos="6036" w:leader="none"/>
              </w:tabs>
              <w:spacing w:lineRule="auto" w:line="240"/>
              <w:ind w:hanging="0" w:left="885"/>
              <w:jc w:val="left"/>
              <w:rPr>
                <w:color w:val="000000"/>
                <w:sz w:val="24"/>
                <w:szCs w:val="24"/>
              </w:rPr>
            </w:pPr>
            <w:r>
              <w:rPr>
                <w:color w:val="000000"/>
                <w:sz w:val="24"/>
                <w:szCs w:val="24"/>
              </w:rPr>
            </w:r>
          </w:p>
          <w:p>
            <w:pPr>
              <w:pStyle w:val="Normal"/>
              <w:widowControl w:val="false"/>
              <w:tabs>
                <w:tab w:val="clear" w:pos="708"/>
                <w:tab w:val="left" w:pos="6036" w:leader="none"/>
              </w:tabs>
              <w:spacing w:lineRule="auto" w:line="240"/>
              <w:ind w:hanging="0" w:left="885"/>
              <w:jc w:val="left"/>
              <w:rPr>
                <w:color w:val="000000"/>
                <w:sz w:val="24"/>
                <w:szCs w:val="24"/>
              </w:rPr>
            </w:pPr>
            <w:r>
              <w:rPr>
                <w:color w:val="000000"/>
                <w:sz w:val="24"/>
                <w:szCs w:val="24"/>
              </w:rPr>
            </w:r>
          </w:p>
          <w:p>
            <w:pPr>
              <w:pStyle w:val="Normal"/>
              <w:widowControl w:val="false"/>
              <w:tabs>
                <w:tab w:val="clear" w:pos="708"/>
                <w:tab w:val="left" w:pos="6036" w:leader="none"/>
              </w:tabs>
              <w:spacing w:lineRule="auto" w:line="240"/>
              <w:ind w:hanging="0" w:left="885"/>
              <w:jc w:val="left"/>
              <w:rPr>
                <w:color w:val="000000"/>
                <w:sz w:val="24"/>
                <w:szCs w:val="24"/>
              </w:rPr>
            </w:pPr>
            <w:r>
              <w:rPr>
                <w:color w:val="000000"/>
                <w:sz w:val="24"/>
                <w:szCs w:val="24"/>
              </w:rPr>
            </w:r>
          </w:p>
          <w:p>
            <w:pPr>
              <w:pStyle w:val="Normal"/>
              <w:widowControl w:val="false"/>
              <w:tabs>
                <w:tab w:val="clear" w:pos="708"/>
                <w:tab w:val="left" w:pos="6036" w:leader="none"/>
              </w:tabs>
              <w:spacing w:lineRule="auto" w:line="240"/>
              <w:ind w:hanging="0" w:left="885"/>
              <w:jc w:val="left"/>
              <w:rPr>
                <w:color w:val="000000"/>
                <w:sz w:val="24"/>
                <w:szCs w:val="24"/>
              </w:rPr>
            </w:pPr>
            <w:r>
              <w:rPr>
                <w:color w:val="000000"/>
                <w:sz w:val="24"/>
                <w:szCs w:val="24"/>
              </w:rPr>
            </w:r>
          </w:p>
          <w:p>
            <w:pPr>
              <w:pStyle w:val="Normal"/>
              <w:widowControl w:val="false"/>
              <w:tabs>
                <w:tab w:val="clear" w:pos="708"/>
                <w:tab w:val="left" w:pos="6036" w:leader="none"/>
              </w:tabs>
              <w:spacing w:lineRule="auto" w:line="240"/>
              <w:ind w:hanging="0" w:left="885"/>
              <w:jc w:val="left"/>
              <w:rPr>
                <w:color w:val="000000"/>
                <w:sz w:val="24"/>
                <w:szCs w:val="24"/>
              </w:rPr>
            </w:pPr>
            <w:r>
              <w:rPr>
                <w:color w:val="000000"/>
                <w:sz w:val="24"/>
                <w:szCs w:val="24"/>
              </w:rPr>
            </w:r>
          </w:p>
          <w:p>
            <w:pPr>
              <w:pStyle w:val="Normal"/>
              <w:widowControl w:val="false"/>
              <w:tabs>
                <w:tab w:val="clear" w:pos="708"/>
                <w:tab w:val="left" w:pos="6036" w:leader="none"/>
              </w:tabs>
              <w:spacing w:lineRule="auto" w:line="240"/>
              <w:ind w:hanging="0" w:left="885"/>
              <w:jc w:val="left"/>
              <w:rPr>
                <w:color w:val="000000"/>
                <w:sz w:val="24"/>
                <w:szCs w:val="24"/>
              </w:rPr>
            </w:pPr>
            <w:r>
              <w:rPr>
                <w:color w:val="000000"/>
                <w:sz w:val="24"/>
                <w:szCs w:val="24"/>
              </w:rPr>
            </w:r>
          </w:p>
          <w:p>
            <w:pPr>
              <w:pStyle w:val="Normal"/>
              <w:widowControl w:val="false"/>
              <w:tabs>
                <w:tab w:val="clear" w:pos="708"/>
                <w:tab w:val="left" w:pos="6036" w:leader="none"/>
              </w:tabs>
              <w:spacing w:lineRule="auto" w:line="240"/>
              <w:ind w:hanging="0" w:left="885"/>
              <w:jc w:val="left"/>
              <w:rPr>
                <w:color w:val="000000"/>
                <w:sz w:val="24"/>
                <w:szCs w:val="24"/>
              </w:rPr>
            </w:pPr>
            <w:r>
              <w:rPr>
                <w:color w:val="000000"/>
                <w:sz w:val="24"/>
                <w:szCs w:val="24"/>
              </w:rPr>
            </w:r>
          </w:p>
          <w:p>
            <w:pPr>
              <w:pStyle w:val="Normal"/>
              <w:widowControl w:val="false"/>
              <w:tabs>
                <w:tab w:val="clear" w:pos="708"/>
                <w:tab w:val="left" w:pos="6036" w:leader="none"/>
              </w:tabs>
              <w:spacing w:lineRule="auto" w:line="240"/>
              <w:ind w:hanging="0" w:left="885"/>
              <w:jc w:val="left"/>
              <w:rPr>
                <w:color w:val="000000"/>
                <w:sz w:val="24"/>
                <w:szCs w:val="24"/>
              </w:rPr>
            </w:pPr>
            <w:r>
              <w:rPr>
                <w:color w:val="000000"/>
                <w:sz w:val="24"/>
                <w:szCs w:val="24"/>
              </w:rPr>
            </w:r>
          </w:p>
          <w:p>
            <w:pPr>
              <w:pStyle w:val="Normal"/>
              <w:widowControl w:val="false"/>
              <w:tabs>
                <w:tab w:val="clear" w:pos="708"/>
                <w:tab w:val="left" w:pos="6036" w:leader="none"/>
              </w:tabs>
              <w:spacing w:lineRule="auto" w:line="240"/>
              <w:ind w:hanging="0" w:left="885"/>
              <w:jc w:val="left"/>
              <w:rPr>
                <w:color w:val="000000"/>
                <w:sz w:val="24"/>
                <w:szCs w:val="24"/>
              </w:rPr>
            </w:pPr>
            <w:r>
              <w:rPr>
                <w:color w:val="000000"/>
                <w:sz w:val="24"/>
                <w:szCs w:val="24"/>
              </w:rPr>
            </w:r>
          </w:p>
          <w:p>
            <w:pPr>
              <w:pStyle w:val="Normal"/>
              <w:widowControl w:val="false"/>
              <w:tabs>
                <w:tab w:val="clear" w:pos="708"/>
                <w:tab w:val="left" w:pos="6036" w:leader="none"/>
              </w:tabs>
              <w:spacing w:lineRule="auto" w:line="240"/>
              <w:ind w:hanging="0" w:left="885"/>
              <w:jc w:val="left"/>
              <w:rPr>
                <w:color w:val="000000"/>
                <w:sz w:val="24"/>
                <w:szCs w:val="24"/>
              </w:rPr>
            </w:pPr>
            <w:r>
              <w:rPr>
                <w:color w:val="000000"/>
                <w:sz w:val="24"/>
                <w:szCs w:val="24"/>
              </w:rPr>
            </w:r>
          </w:p>
          <w:p>
            <w:pPr>
              <w:pStyle w:val="Normal"/>
              <w:widowControl w:val="false"/>
              <w:tabs>
                <w:tab w:val="clear" w:pos="708"/>
                <w:tab w:val="left" w:pos="6036" w:leader="none"/>
              </w:tabs>
              <w:spacing w:lineRule="auto" w:line="240"/>
              <w:ind w:hanging="0" w:left="885"/>
              <w:jc w:val="left"/>
              <w:rPr>
                <w:color w:val="000000"/>
                <w:sz w:val="24"/>
                <w:szCs w:val="24"/>
              </w:rPr>
            </w:pPr>
            <w:r>
              <w:rPr>
                <w:color w:val="000000"/>
                <w:sz w:val="24"/>
                <w:szCs w:val="24"/>
              </w:rPr>
            </w:r>
          </w:p>
          <w:p>
            <w:pPr>
              <w:pStyle w:val="Normal"/>
              <w:widowControl w:val="false"/>
              <w:tabs>
                <w:tab w:val="clear" w:pos="708"/>
                <w:tab w:val="left" w:pos="6036" w:leader="none"/>
              </w:tabs>
              <w:spacing w:lineRule="auto" w:line="240"/>
              <w:ind w:hanging="0" w:left="885"/>
              <w:jc w:val="left"/>
              <w:rPr>
                <w:color w:val="000000"/>
                <w:sz w:val="24"/>
                <w:szCs w:val="24"/>
              </w:rPr>
            </w:pPr>
            <w:r>
              <w:rPr>
                <w:color w:val="000000"/>
                <w:sz w:val="24"/>
                <w:szCs w:val="24"/>
              </w:rPr>
            </w:r>
          </w:p>
          <w:p>
            <w:pPr>
              <w:pStyle w:val="Normal"/>
              <w:widowControl w:val="false"/>
              <w:tabs>
                <w:tab w:val="clear" w:pos="708"/>
                <w:tab w:val="left" w:pos="6036" w:leader="none"/>
              </w:tabs>
              <w:spacing w:lineRule="auto" w:line="240"/>
              <w:ind w:hanging="0" w:left="885"/>
              <w:jc w:val="left"/>
              <w:rPr>
                <w:color w:val="000000"/>
                <w:sz w:val="24"/>
                <w:szCs w:val="24"/>
              </w:rPr>
            </w:pPr>
            <w:r>
              <w:rPr>
                <w:color w:val="000000"/>
                <w:sz w:val="24"/>
                <w:szCs w:val="24"/>
              </w:rPr>
            </w:r>
          </w:p>
          <w:p>
            <w:pPr>
              <w:pStyle w:val="Normal"/>
              <w:widowControl w:val="false"/>
              <w:tabs>
                <w:tab w:val="clear" w:pos="708"/>
                <w:tab w:val="left" w:pos="6036" w:leader="none"/>
              </w:tabs>
              <w:spacing w:lineRule="auto" w:line="240"/>
              <w:ind w:hanging="0" w:left="885"/>
              <w:jc w:val="left"/>
              <w:rPr>
                <w:color w:val="000000"/>
                <w:sz w:val="24"/>
                <w:szCs w:val="24"/>
              </w:rPr>
            </w:pPr>
            <w:r>
              <w:rPr>
                <w:color w:val="000000"/>
                <w:sz w:val="24"/>
                <w:szCs w:val="24"/>
              </w:rPr>
            </w:r>
          </w:p>
          <w:p>
            <w:pPr>
              <w:pStyle w:val="Normal"/>
              <w:widowControl w:val="false"/>
              <w:tabs>
                <w:tab w:val="clear" w:pos="708"/>
                <w:tab w:val="left" w:pos="6036" w:leader="none"/>
              </w:tabs>
              <w:spacing w:lineRule="auto" w:line="240"/>
              <w:ind w:hanging="0" w:left="885"/>
              <w:jc w:val="left"/>
              <w:rPr>
                <w:color w:val="000000"/>
                <w:sz w:val="24"/>
                <w:szCs w:val="24"/>
              </w:rPr>
            </w:pPr>
            <w:r>
              <w:rPr>
                <w:color w:val="000000"/>
                <w:sz w:val="24"/>
                <w:szCs w:val="24"/>
              </w:rPr>
            </w:r>
          </w:p>
          <w:p>
            <w:pPr>
              <w:pStyle w:val="Normal"/>
              <w:widowControl w:val="false"/>
              <w:tabs>
                <w:tab w:val="clear" w:pos="708"/>
                <w:tab w:val="left" w:pos="6036" w:leader="none"/>
              </w:tabs>
              <w:spacing w:lineRule="auto" w:line="240"/>
              <w:ind w:hanging="0" w:left="885"/>
              <w:jc w:val="left"/>
              <w:rPr>
                <w:color w:val="000000"/>
                <w:sz w:val="24"/>
                <w:szCs w:val="24"/>
              </w:rPr>
            </w:pPr>
            <w:r>
              <w:rPr>
                <w:color w:val="000000"/>
                <w:sz w:val="24"/>
                <w:szCs w:val="24"/>
              </w:rPr>
            </w:r>
          </w:p>
          <w:p>
            <w:pPr>
              <w:pStyle w:val="Normal"/>
              <w:widowControl w:val="false"/>
              <w:tabs>
                <w:tab w:val="clear" w:pos="708"/>
                <w:tab w:val="left" w:pos="6036" w:leader="none"/>
              </w:tabs>
              <w:spacing w:lineRule="auto" w:line="240"/>
              <w:ind w:hanging="0" w:left="885"/>
              <w:jc w:val="left"/>
              <w:rPr>
                <w:color w:val="000000"/>
                <w:sz w:val="24"/>
                <w:szCs w:val="24"/>
              </w:rPr>
            </w:pPr>
            <w:r>
              <w:rPr>
                <w:color w:val="000000"/>
                <w:sz w:val="24"/>
                <w:szCs w:val="24"/>
              </w:rPr>
            </w:r>
          </w:p>
          <w:p>
            <w:pPr>
              <w:pStyle w:val="Normal"/>
              <w:widowControl w:val="false"/>
              <w:tabs>
                <w:tab w:val="clear" w:pos="708"/>
                <w:tab w:val="left" w:pos="6036" w:leader="none"/>
              </w:tabs>
              <w:spacing w:lineRule="auto" w:line="240"/>
              <w:ind w:hanging="0" w:left="885"/>
              <w:jc w:val="left"/>
              <w:rPr>
                <w:color w:val="000000"/>
                <w:sz w:val="24"/>
                <w:szCs w:val="24"/>
              </w:rPr>
            </w:pPr>
            <w:r>
              <w:rPr>
                <w:color w:val="000000"/>
                <w:sz w:val="24"/>
                <w:szCs w:val="24"/>
              </w:rPr>
            </w:r>
          </w:p>
          <w:p>
            <w:pPr>
              <w:pStyle w:val="Normal"/>
              <w:widowControl w:val="false"/>
              <w:tabs>
                <w:tab w:val="clear" w:pos="708"/>
                <w:tab w:val="left" w:pos="6036" w:leader="none"/>
              </w:tabs>
              <w:spacing w:lineRule="auto" w:line="240"/>
              <w:ind w:hanging="0" w:left="885"/>
              <w:jc w:val="left"/>
              <w:rPr>
                <w:color w:val="000000"/>
                <w:sz w:val="24"/>
                <w:szCs w:val="24"/>
              </w:rPr>
            </w:pPr>
            <w:r>
              <w:rPr>
                <w:color w:val="000000"/>
                <w:sz w:val="24"/>
                <w:szCs w:val="24"/>
              </w:rPr>
            </w:r>
          </w:p>
          <w:p>
            <w:pPr>
              <w:pStyle w:val="Normal"/>
              <w:widowControl w:val="false"/>
              <w:tabs>
                <w:tab w:val="clear" w:pos="708"/>
                <w:tab w:val="left" w:pos="6036" w:leader="none"/>
              </w:tabs>
              <w:spacing w:lineRule="auto" w:line="240"/>
              <w:ind w:hanging="0" w:left="885"/>
              <w:jc w:val="left"/>
              <w:rPr>
                <w:color w:val="000000"/>
                <w:sz w:val="24"/>
                <w:szCs w:val="24"/>
              </w:rPr>
            </w:pPr>
            <w:r>
              <w:rPr>
                <w:color w:val="000000"/>
                <w:sz w:val="24"/>
                <w:szCs w:val="24"/>
              </w:rPr>
            </w:r>
          </w:p>
          <w:p>
            <w:pPr>
              <w:pStyle w:val="Normal"/>
              <w:widowControl w:val="false"/>
              <w:tabs>
                <w:tab w:val="clear" w:pos="708"/>
                <w:tab w:val="left" w:pos="6036" w:leader="none"/>
              </w:tabs>
              <w:spacing w:lineRule="auto" w:line="240"/>
              <w:ind w:hanging="0" w:left="885"/>
              <w:jc w:val="left"/>
              <w:rPr>
                <w:color w:val="000000"/>
                <w:sz w:val="24"/>
                <w:szCs w:val="24"/>
              </w:rPr>
            </w:pPr>
            <w:r>
              <w:rPr>
                <w:color w:val="000000"/>
                <w:sz w:val="24"/>
                <w:szCs w:val="24"/>
              </w:rPr>
            </w:r>
          </w:p>
          <w:p>
            <w:pPr>
              <w:pStyle w:val="Normal"/>
              <w:widowControl w:val="false"/>
              <w:tabs>
                <w:tab w:val="clear" w:pos="708"/>
                <w:tab w:val="left" w:pos="6036" w:leader="none"/>
              </w:tabs>
              <w:spacing w:lineRule="auto" w:line="240"/>
              <w:ind w:hanging="0" w:left="885"/>
              <w:jc w:val="left"/>
              <w:rPr>
                <w:color w:val="000000"/>
                <w:sz w:val="24"/>
                <w:szCs w:val="24"/>
              </w:rPr>
            </w:pPr>
            <w:r>
              <w:rPr>
                <w:color w:val="000000"/>
                <w:sz w:val="24"/>
                <w:szCs w:val="24"/>
              </w:rPr>
            </w:r>
          </w:p>
          <w:p>
            <w:pPr>
              <w:pStyle w:val="Normal"/>
              <w:widowControl w:val="false"/>
              <w:tabs>
                <w:tab w:val="clear" w:pos="708"/>
                <w:tab w:val="left" w:pos="6036" w:leader="none"/>
              </w:tabs>
              <w:spacing w:lineRule="auto" w:line="240"/>
              <w:ind w:hanging="0" w:left="885"/>
              <w:jc w:val="left"/>
              <w:rPr>
                <w:color w:val="000000"/>
                <w:sz w:val="24"/>
                <w:szCs w:val="24"/>
              </w:rPr>
            </w:pPr>
            <w:r>
              <w:rPr>
                <w:color w:val="000000"/>
                <w:sz w:val="24"/>
                <w:szCs w:val="24"/>
              </w:rPr>
            </w:r>
          </w:p>
          <w:p>
            <w:pPr>
              <w:pStyle w:val="Normal"/>
              <w:widowControl w:val="false"/>
              <w:tabs>
                <w:tab w:val="clear" w:pos="708"/>
                <w:tab w:val="left" w:pos="6036" w:leader="none"/>
              </w:tabs>
              <w:spacing w:lineRule="auto" w:line="240"/>
              <w:ind w:hanging="0" w:left="885"/>
              <w:jc w:val="left"/>
              <w:rPr>
                <w:color w:val="000000"/>
                <w:sz w:val="24"/>
                <w:szCs w:val="24"/>
              </w:rPr>
            </w:pPr>
            <w:r>
              <w:rPr>
                <w:color w:val="000000"/>
                <w:sz w:val="24"/>
                <w:szCs w:val="24"/>
              </w:rPr>
            </w:r>
          </w:p>
          <w:p>
            <w:pPr>
              <w:pStyle w:val="Normal"/>
              <w:widowControl w:val="false"/>
              <w:tabs>
                <w:tab w:val="clear" w:pos="708"/>
                <w:tab w:val="left" w:pos="6036" w:leader="none"/>
              </w:tabs>
              <w:spacing w:lineRule="auto" w:line="240"/>
              <w:ind w:hanging="0" w:left="885"/>
              <w:jc w:val="left"/>
              <w:rPr>
                <w:color w:val="000000"/>
                <w:sz w:val="24"/>
                <w:szCs w:val="24"/>
              </w:rPr>
            </w:pPr>
            <w:r>
              <w:rPr>
                <w:color w:val="000000"/>
                <w:sz w:val="24"/>
                <w:szCs w:val="24"/>
              </w:rPr>
            </w:r>
          </w:p>
          <w:p>
            <w:pPr>
              <w:pStyle w:val="Normal"/>
              <w:widowControl w:val="false"/>
              <w:tabs>
                <w:tab w:val="clear" w:pos="708"/>
                <w:tab w:val="left" w:pos="6036" w:leader="none"/>
              </w:tabs>
              <w:spacing w:lineRule="auto" w:line="240"/>
              <w:ind w:hanging="0" w:left="885"/>
              <w:jc w:val="left"/>
              <w:rPr>
                <w:color w:val="000000"/>
                <w:sz w:val="24"/>
                <w:szCs w:val="24"/>
              </w:rPr>
            </w:pPr>
            <w:r>
              <w:rPr>
                <w:color w:val="000000"/>
                <w:sz w:val="24"/>
                <w:szCs w:val="24"/>
              </w:rPr>
            </w:r>
          </w:p>
          <w:p>
            <w:pPr>
              <w:pStyle w:val="Normal"/>
              <w:widowControl w:val="false"/>
              <w:tabs>
                <w:tab w:val="clear" w:pos="708"/>
                <w:tab w:val="left" w:pos="6036" w:leader="none"/>
              </w:tabs>
              <w:spacing w:lineRule="auto" w:line="240"/>
              <w:ind w:hanging="0"/>
              <w:jc w:val="left"/>
              <w:rPr>
                <w:sz w:val="24"/>
                <w:szCs w:val="24"/>
              </w:rPr>
            </w:pPr>
            <w:r>
              <w:rPr>
                <w:sz w:val="24"/>
                <w:szCs w:val="24"/>
              </w:rPr>
            </w:r>
          </w:p>
        </w:tc>
      </w:tr>
    </w:tbl>
    <w:p>
      <w:pPr>
        <w:pStyle w:val="Normal"/>
        <w:spacing w:lineRule="auto" w:line="240"/>
        <w:ind w:hanging="0"/>
        <w:rPr>
          <w:sz w:val="24"/>
          <w:szCs w:val="24"/>
        </w:rPr>
      </w:pPr>
      <w:r>
        <w:rPr>
          <w:sz w:val="24"/>
          <w:szCs w:val="24"/>
        </w:rPr>
      </w:r>
    </w:p>
    <w:sectPr>
      <w:headerReference w:type="default" r:id="rId6"/>
      <w:footerReference w:type="default" r:id="rId7"/>
      <w:footnotePr>
        <w:numFmt w:val="decimal"/>
      </w:footnotePr>
      <w:type w:val="nextPage"/>
      <w:pgSz w:w="11906" w:h="16838"/>
      <w:pgMar w:left="1418" w:right="851" w:gutter="0" w:header="284" w:top="568" w:footer="590" w:bottom="993"/>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Cambria">
    <w:charset w:val="01"/>
    <w:family w:val="roman"/>
    <w:pitch w:val="variable"/>
  </w:font>
  <w:font w:name="Arial">
    <w:charset w:val="01"/>
    <w:family w:val="roman"/>
    <w:pitch w:val="variable"/>
  </w:font>
  <w:font w:name="Tahoma">
    <w:charset w:val="01"/>
    <w:family w:val="roman"/>
    <w:pitch w:val="variable"/>
  </w:font>
  <w:font w:name="MS Reference Sans Serif">
    <w:charset w:val="01"/>
    <w:family w:val="roman"/>
    <w:pitch w:val="variable"/>
  </w:font>
  <w:font w:name="Segoe UI">
    <w:charset w:val="01"/>
    <w:family w:val="roman"/>
    <w:pitch w:val="variable"/>
  </w:font>
  <w:font w:name="Open Sans">
    <w:charset w:val="01"/>
    <w:family w:val="roman"/>
    <w:pitch w:val="variable"/>
  </w:font>
  <w:font w:name="Verdana">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sz w:val="24"/>
        <w:szCs w:val="24"/>
      </w:rPr>
    </w:pPr>
    <w:r>
      <w:rPr>
        <w:sz w:val="24"/>
        <w:szCs w:val="24"/>
      </w:rPr>
      <w:t xml:space="preserve">                                                                               </w:t>
    </w:r>
  </w:p>
  <w:p>
    <w:pPr>
      <w:pStyle w:val="Footer"/>
      <w:jc w:val="right"/>
      <w:rPr>
        <w:sz w:val="24"/>
        <w:szCs w:val="24"/>
      </w:rPr>
    </w:pPr>
    <w:r>
      <w:rPr>
        <w:sz w:val="24"/>
        <w:szCs w:val="24"/>
      </w:rPr>
      <w:fldChar w:fldCharType="begin"/>
    </w:r>
    <w:r>
      <w:rPr>
        <w:sz w:val="24"/>
        <w:szCs w:val="24"/>
      </w:rPr>
      <w:instrText xml:space="preserve"> PAGE </w:instrText>
    </w:r>
    <w:r>
      <w:rPr>
        <w:sz w:val="24"/>
        <w:szCs w:val="24"/>
      </w:rPr>
      <w:fldChar w:fldCharType="separate"/>
    </w:r>
    <w:r>
      <w:rPr>
        <w:sz w:val="24"/>
        <w:szCs w:val="24"/>
      </w:rPr>
      <w:t>11</w:t>
    </w:r>
    <w:r>
      <w:rPr>
        <w:sz w:val="24"/>
        <w:szCs w:val="24"/>
      </w:rPr>
      <w:fldChar w:fldCharType="end"/>
    </w:r>
  </w:p>
  <w:p>
    <w:pPr>
      <w:pStyle w:val="Footer"/>
      <w:jc w:val="right"/>
      <w:rPr>
        <w:lang w:val="en-US"/>
      </w:rPr>
    </w:pPr>
    <w:r>
      <w:rPr>
        <w:lang w:val="en-US"/>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jc w:val="both"/>
        <w:rPr>
          <w:color w:val="auto"/>
        </w:rPr>
      </w:pPr>
      <w:r>
        <w:rPr>
          <w:rStyle w:val="Style8"/>
        </w:rPr>
        <w:footnoteRef/>
      </w:r>
      <w:r>
        <w:rPr>
          <w:color w:val="auto"/>
        </w:rPr>
        <w:t>Необходимость участия Подрядчика в конкретном СРО определяется в зависимости от состава Работ, выполняемых по Договору.</w:t>
      </w:r>
    </w:p>
  </w:footnote>
  <w:footnote w:id="3">
    <w:p>
      <w:pPr>
        <w:pStyle w:val="FootnoteText"/>
        <w:rPr/>
      </w:pPr>
      <w:r>
        <w:rPr>
          <w:rStyle w:val="Style8"/>
        </w:rPr>
        <w:footnoteRef/>
      </w:r>
      <w:r>
        <w:rPr/>
        <w:t>Не требуется членство в СРО контрагентов по договорам на проведение инженерных изысканий, разработку проектной документации и договорам строительного подряда в следующих случаях:</w:t>
      </w:r>
    </w:p>
    <w:p>
      <w:pPr>
        <w:pStyle w:val="FootnoteText"/>
        <w:rPr/>
      </w:pPr>
      <w:r>
        <w:rPr/>
        <w:t>-</w:t>
        <w:tab/>
        <w:t>размер обязательств по одному договору не превышает 10 000 000 (десяти миллионов) рублей (по договорам строительного подряда);</w:t>
      </w:r>
    </w:p>
    <w:p>
      <w:pPr>
        <w:pStyle w:val="FootnoteText"/>
        <w:rPr/>
      </w:pPr>
      <w:r>
        <w:rPr/>
        <w:t>-</w:t>
        <w:tab/>
        <w:t>при выполнении работ по строительству, реконструкции, капитальному ремонту объектов, не являющихся объектами капитального строительства;</w:t>
      </w:r>
    </w:p>
    <w:p>
      <w:pPr>
        <w:pStyle w:val="FootnoteText"/>
        <w:rPr/>
      </w:pPr>
      <w:r>
        <w:rPr/>
        <w:t>-</w:t>
        <w:tab/>
        <w:t>при выполнении работ по строительству, реконструкции, капитальному ремонту на земельном участке строений и сооружений вспомогательного использования;</w:t>
      </w:r>
    </w:p>
    <w:p>
      <w:pPr>
        <w:pStyle w:val="FootnoteText"/>
        <w:rPr/>
      </w:pPr>
      <w:r>
        <w:rPr/>
        <w:t>-</w:t>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4">
    <w:p>
      <w:pPr>
        <w:pStyle w:val="FootnoteText"/>
        <w:jc w:val="both"/>
        <w:rPr>
          <w:color w:val="auto"/>
        </w:rPr>
      </w:pPr>
      <w:r>
        <w:rPr>
          <w:rStyle w:val="Style8"/>
        </w:rPr>
        <w:footnoteRef/>
      </w:r>
      <w:r>
        <w:rPr>
          <w:color w:val="auto"/>
        </w:rPr>
        <w:t>Необходимость выполнения работ по Договору конкретными специалистами Подрядчика определяется в зависимости от состава Работ, выполняемых по Договору.</w:t>
      </w:r>
    </w:p>
  </w:footnote>
  <w:footnote w:id="5">
    <w:p>
      <w:pPr>
        <w:pStyle w:val="FootnoteText"/>
        <w:jc w:val="both"/>
        <w:rPr>
          <w:color w:val="auto"/>
        </w:rPr>
      </w:pPr>
      <w:r>
        <w:rPr>
          <w:rStyle w:val="Style8"/>
        </w:rPr>
        <w:footnoteRef/>
      </w:r>
      <w:r>
        <w:rPr>
          <w:color w:val="auto"/>
        </w:rPr>
        <w:t xml:space="preserve">В случае, если членство в СРО требуется в соответствии с законодательством Российской Федерации </w:t>
      </w:r>
    </w:p>
  </w:footnote>
  <w:footnote w:id="6">
    <w:p>
      <w:pPr>
        <w:pStyle w:val="FootnoteText"/>
        <w:jc w:val="both"/>
        <w:rPr>
          <w:color w:val="auto"/>
        </w:rPr>
      </w:pPr>
      <w:r>
        <w:rPr>
          <w:rStyle w:val="Style8"/>
        </w:rPr>
        <w:footnoteRef/>
      </w:r>
      <w:r>
        <w:rPr>
          <w:color w:val="auto"/>
        </w:rPr>
        <w:t>В случае, если членство в СРО требуется в соответствии с законодательством Российской Федерации</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ind w:hanging="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Статья %1."/>
      <w:lvlJc w:val="left"/>
      <w:pPr>
        <w:tabs>
          <w:tab w:val="num" w:pos="720"/>
        </w:tabs>
        <w:ind w:left="720" w:hanging="360"/>
      </w:pPr>
      <w:rPr/>
    </w:lvl>
    <w:lvl w:ilvl="1">
      <w:start w:val="1"/>
      <w:numFmt w:val="decimal"/>
      <w:lvlText w:val="%1.%2."/>
      <w:lvlJc w:val="left"/>
      <w:pPr>
        <w:tabs>
          <w:tab w:val="num" w:pos="1725"/>
        </w:tabs>
        <w:ind w:left="1725" w:hanging="1185"/>
      </w:pPr>
      <w:rPr>
        <w:sz w:val="24"/>
        <w:b w:val="false"/>
        <w:szCs w:val="24"/>
      </w:rPr>
    </w:lvl>
    <w:lvl w:ilvl="2">
      <w:start w:val="1"/>
      <w:numFmt w:val="decimal"/>
      <w:lvlText w:val="%1.%2.%3."/>
      <w:lvlJc w:val="left"/>
      <w:pPr>
        <w:tabs>
          <w:tab w:val="num" w:pos="2085"/>
        </w:tabs>
        <w:ind w:left="2085" w:hanging="1185"/>
      </w:pPr>
      <w:rPr>
        <w:sz w:val="24"/>
        <w:b w:val="false"/>
        <w:szCs w:val="24"/>
      </w:rPr>
    </w:lvl>
    <w:lvl w:ilvl="3">
      <w:start w:val="1"/>
      <w:numFmt w:val="decimal"/>
      <w:lvlText w:val="%1.%2.%3.%4."/>
      <w:lvlJc w:val="left"/>
      <w:pPr>
        <w:tabs>
          <w:tab w:val="num" w:pos="2625"/>
        </w:tabs>
        <w:ind w:left="2625" w:hanging="1185"/>
      </w:pPr>
      <w:rPr/>
    </w:lvl>
    <w:lvl w:ilvl="4">
      <w:start w:val="1"/>
      <w:numFmt w:val="decimal"/>
      <w:lvlText w:val="%1.%2.%3.%4.%5."/>
      <w:lvlJc w:val="left"/>
      <w:pPr>
        <w:tabs>
          <w:tab w:val="num" w:pos="2985"/>
        </w:tabs>
        <w:ind w:left="2985" w:hanging="1185"/>
      </w:pPr>
      <w:rPr/>
    </w:lvl>
    <w:lvl w:ilvl="5">
      <w:start w:val="1"/>
      <w:numFmt w:val="decimal"/>
      <w:lvlText w:val="%1.%2.%3.%4.%5.%6."/>
      <w:lvlJc w:val="left"/>
      <w:pPr>
        <w:tabs>
          <w:tab w:val="num" w:pos="3345"/>
        </w:tabs>
        <w:ind w:left="3345" w:hanging="1185"/>
      </w:pPr>
      <w:rPr/>
    </w:lvl>
    <w:lvl w:ilvl="6">
      <w:start w:val="1"/>
      <w:numFmt w:val="decimal"/>
      <w:lvlText w:val="%1.%2.%3.%4.%5.%6.%7."/>
      <w:lvlJc w:val="left"/>
      <w:pPr>
        <w:tabs>
          <w:tab w:val="num" w:pos="3960"/>
        </w:tabs>
        <w:ind w:left="3960" w:hanging="1440"/>
      </w:pPr>
      <w:rPr/>
    </w:lvl>
    <w:lvl w:ilvl="7">
      <w:start w:val="1"/>
      <w:numFmt w:val="decimal"/>
      <w:lvlText w:val="%1.%2.%3.%4.%5.%6.%7.%8."/>
      <w:lvlJc w:val="left"/>
      <w:pPr>
        <w:tabs>
          <w:tab w:val="num" w:pos="4320"/>
        </w:tabs>
        <w:ind w:left="4320" w:hanging="1440"/>
      </w:pPr>
      <w:rPr/>
    </w:lvl>
    <w:lvl w:ilvl="8">
      <w:start w:val="1"/>
      <w:numFmt w:val="decimal"/>
      <w:lvlText w:val="%1.%2.%3.%4.%5.%6.%7.%8.%9."/>
      <w:lvlJc w:val="left"/>
      <w:pPr>
        <w:tabs>
          <w:tab w:val="num" w:pos="5040"/>
        </w:tabs>
        <w:ind w:left="5040" w:hanging="1800"/>
      </w:pPr>
      <w:rPr/>
    </w:lvl>
  </w:abstractNum>
  <w:abstractNum w:abstractNumId="2">
    <w:lvl w:ilvl="0">
      <w:start w:val="1"/>
      <w:numFmt w:val="bullet"/>
      <w:lvlText w:val=""/>
      <w:lvlJc w:val="left"/>
      <w:pPr>
        <w:tabs>
          <w:tab w:val="num" w:pos="360"/>
        </w:tabs>
        <w:ind w:left="360" w:hanging="360"/>
      </w:pPr>
      <w:rPr>
        <w:rFonts w:ascii="Symbol" w:hAnsi="Symbol" w:cs="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lvl w:ilvl="0">
      <w:start w:val="1"/>
      <w:numFmt w:val="decimal"/>
      <w:lvlText w:val="%1."/>
      <w:lvlJc w:val="left"/>
      <w:pPr>
        <w:tabs>
          <w:tab w:val="num" w:pos="0"/>
        </w:tabs>
        <w:ind w:left="2204" w:hanging="360"/>
      </w:pPr>
      <w:rPr>
        <w:b/>
      </w:rPr>
    </w:lvl>
    <w:lvl w:ilvl="1">
      <w:start w:val="2"/>
      <w:numFmt w:val="decimal"/>
      <w:lvlText w:val="%1.%2."/>
      <w:lvlJc w:val="left"/>
      <w:pPr>
        <w:tabs>
          <w:tab w:val="num" w:pos="0"/>
        </w:tabs>
        <w:ind w:left="1142" w:hanging="432"/>
      </w:pPr>
      <w:rPr>
        <w:sz w:val="24"/>
        <w:u w:val="none"/>
        <w:b w:val="false"/>
        <w:szCs w:val="24"/>
      </w:rPr>
    </w:lvl>
    <w:lvl w:ilvl="2">
      <w:start w:val="1"/>
      <w:numFmt w:val="decimal"/>
      <w:lvlText w:val="%1.%2.%3."/>
      <w:lvlJc w:val="left"/>
      <w:pPr>
        <w:tabs>
          <w:tab w:val="num" w:pos="0"/>
        </w:tabs>
        <w:ind w:left="1639" w:hanging="504"/>
      </w:pPr>
      <w:rPr>
        <w:sz w:val="24"/>
        <w:b w:val="false"/>
        <w:szCs w:val="24"/>
        <w:highlight w:val="white"/>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3240"/>
        </w:tabs>
        <w:ind w:left="3240" w:hanging="0"/>
      </w:pPr>
      <w:rPr/>
    </w:lvl>
    <w:lvl w:ilvl="1">
      <w:start w:val="1"/>
      <w:numFmt w:val="decimal"/>
      <w:lvlText w:val="%1.%2."/>
      <w:lvlJc w:val="left"/>
      <w:pPr>
        <w:tabs>
          <w:tab w:val="num" w:pos="851"/>
        </w:tabs>
        <w:ind w:left="851" w:hanging="851"/>
      </w:pPr>
      <w:rPr/>
    </w:lvl>
    <w:lvl w:ilvl="2">
      <w:start w:val="1"/>
      <w:numFmt w:val="decimal"/>
      <w:lvlText w:val="%1.%2.%3."/>
      <w:lvlJc w:val="left"/>
      <w:pPr>
        <w:tabs>
          <w:tab w:val="num" w:pos="851"/>
        </w:tabs>
        <w:ind w:left="851" w:hanging="851"/>
      </w:pPr>
      <w:rPr/>
    </w:lvl>
    <w:lvl w:ilvl="3">
      <w:start w:val="1"/>
      <w:numFmt w:val="lowerLetter"/>
      <w:lvlText w:val="%4)"/>
      <w:lvlJc w:val="left"/>
      <w:pPr>
        <w:tabs>
          <w:tab w:val="num" w:pos="1418"/>
        </w:tabs>
        <w:ind w:left="1418" w:hanging="567"/>
      </w:pPr>
      <w:rPr/>
    </w:lvl>
    <w:lvl w:ilvl="4">
      <w:start w:val="1"/>
      <w:numFmt w:val="decimal"/>
      <w:lvlText w:val="%1.%2.%3.%4.%5"/>
      <w:lvlJc w:val="left"/>
      <w:pPr>
        <w:tabs>
          <w:tab w:val="num" w:pos="1008"/>
        </w:tabs>
        <w:ind w:left="1008" w:hanging="1008"/>
      </w:pPr>
      <w:rPr/>
    </w:lvl>
    <w:lvl w:ilvl="5">
      <w:start w:val="1"/>
      <w:numFmt w:val="decimal"/>
      <w:lvlText w:val="%1.%2.%3.%4.%5.%6"/>
      <w:lvlJc w:val="left"/>
      <w:pPr>
        <w:tabs>
          <w:tab w:val="num" w:pos="1152"/>
        </w:tabs>
        <w:ind w:left="1152" w:hanging="1152"/>
      </w:pPr>
      <w:rPr/>
    </w:lvl>
    <w:lvl w:ilvl="6">
      <w:start w:val="1"/>
      <w:numFmt w:val="decimal"/>
      <w:lvlText w:val="%1.%2.%3.%4.%5.%6.%7"/>
      <w:lvlJc w:val="left"/>
      <w:pPr>
        <w:tabs>
          <w:tab w:val="num" w:pos="1296"/>
        </w:tabs>
        <w:ind w:left="1296" w:hanging="1296"/>
      </w:pPr>
      <w:rPr/>
    </w:lvl>
    <w:lvl w:ilvl="7">
      <w:start w:val="1"/>
      <w:numFmt w:val="decimal"/>
      <w:lvlText w:val="%1.%2.%3.%4.%5.%6.%7.%8"/>
      <w:lvlJc w:val="left"/>
      <w:pPr>
        <w:tabs>
          <w:tab w:val="num" w:pos="1440"/>
        </w:tabs>
        <w:ind w:left="1440" w:hanging="1440"/>
      </w:pPr>
      <w:rPr/>
    </w:lvl>
    <w:lvl w:ilvl="8">
      <w:start w:val="1"/>
      <w:numFmt w:val="decimal"/>
      <w:lvlText w:val="%1.%2.%3.%4.%5.%6.%7.%8.%9"/>
      <w:lvlJc w:val="left"/>
      <w:pPr>
        <w:tabs>
          <w:tab w:val="num" w:pos="1584"/>
        </w:tabs>
        <w:ind w:left="1584" w:hanging="1584"/>
      </w:pPr>
      <w:rPr/>
    </w:lvl>
  </w:abstractNum>
  <w:abstractNum w:abstractNumId="5">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6">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7">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9">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0">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3">
    <w:lvl w:ilvl="0">
      <w:start w:val="1"/>
      <w:numFmt w:val="decimal"/>
      <w:lvlText w:val="%1."/>
      <w:lvlJc w:val="left"/>
      <w:pPr>
        <w:tabs>
          <w:tab w:val="num" w:pos="0"/>
        </w:tabs>
        <w:ind w:left="2204" w:hanging="360"/>
      </w:pPr>
      <w:rPr>
        <w:b/>
      </w:rPr>
    </w:lvl>
    <w:lvl w:ilvl="1">
      <w:start w:val="1"/>
      <w:numFmt w:val="bullet"/>
      <w:lvlText w:val=""/>
      <w:lvlJc w:val="left"/>
      <w:pPr>
        <w:tabs>
          <w:tab w:val="num" w:pos="0"/>
        </w:tabs>
        <w:ind w:left="1283" w:hanging="432"/>
      </w:pPr>
      <w:rPr>
        <w:rFonts w:ascii="Symbol" w:hAnsi="Symbol" w:cs="Symbol" w:hint="default"/>
        <w:u w:val="none"/>
        <w:b w:val="false"/>
      </w:rPr>
    </w:lvl>
    <w:lvl w:ilvl="2">
      <w:start w:val="1"/>
      <w:numFmt w:val="decimal"/>
      <w:lvlText w:val="%1.%2.%3."/>
      <w:lvlJc w:val="left"/>
      <w:pPr>
        <w:tabs>
          <w:tab w:val="num" w:pos="0"/>
        </w:tabs>
        <w:ind w:left="1355" w:hanging="504"/>
      </w:pPr>
      <w:rPr>
        <w:sz w:val="24"/>
        <w:b w:val="false"/>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5">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6">
    <w:lvl w:ilvl="0">
      <w:start w:val="1"/>
      <w:numFmt w:val="bullet"/>
      <w:lvlText w:val=""/>
      <w:lvlJc w:val="left"/>
      <w:pPr>
        <w:tabs>
          <w:tab w:val="num" w:pos="0"/>
        </w:tabs>
        <w:ind w:left="1350" w:hanging="360"/>
      </w:pPr>
      <w:rPr>
        <w:rFonts w:ascii="Symbol" w:hAnsi="Symbol" w:cs="Symbol" w:hint="default"/>
      </w:rPr>
    </w:lvl>
    <w:lvl w:ilvl="1">
      <w:start w:val="1"/>
      <w:numFmt w:val="bullet"/>
      <w:lvlText w:val="o"/>
      <w:lvlJc w:val="left"/>
      <w:pPr>
        <w:tabs>
          <w:tab w:val="num" w:pos="0"/>
        </w:tabs>
        <w:ind w:left="2070" w:hanging="360"/>
      </w:pPr>
      <w:rPr>
        <w:rFonts w:ascii="Courier New" w:hAnsi="Courier New" w:cs="Courier New" w:hint="default"/>
      </w:rPr>
    </w:lvl>
    <w:lvl w:ilvl="2">
      <w:start w:val="1"/>
      <w:numFmt w:val="bullet"/>
      <w:lvlText w:val=""/>
      <w:lvlJc w:val="left"/>
      <w:pPr>
        <w:tabs>
          <w:tab w:val="num" w:pos="0"/>
        </w:tabs>
        <w:ind w:left="2790" w:hanging="360"/>
      </w:pPr>
      <w:rPr>
        <w:rFonts w:ascii="Wingdings" w:hAnsi="Wingdings" w:cs="Wingdings" w:hint="default"/>
      </w:rPr>
    </w:lvl>
    <w:lvl w:ilvl="3">
      <w:start w:val="1"/>
      <w:numFmt w:val="bullet"/>
      <w:lvlText w:val=""/>
      <w:lvlJc w:val="left"/>
      <w:pPr>
        <w:tabs>
          <w:tab w:val="num" w:pos="0"/>
        </w:tabs>
        <w:ind w:left="3510" w:hanging="360"/>
      </w:pPr>
      <w:rPr>
        <w:rFonts w:ascii="Symbol" w:hAnsi="Symbol" w:cs="Symbol" w:hint="default"/>
      </w:rPr>
    </w:lvl>
    <w:lvl w:ilvl="4">
      <w:start w:val="1"/>
      <w:numFmt w:val="bullet"/>
      <w:lvlText w:val="o"/>
      <w:lvlJc w:val="left"/>
      <w:pPr>
        <w:tabs>
          <w:tab w:val="num" w:pos="0"/>
        </w:tabs>
        <w:ind w:left="4230" w:hanging="360"/>
      </w:pPr>
      <w:rPr>
        <w:rFonts w:ascii="Courier New" w:hAnsi="Courier New" w:cs="Courier New" w:hint="default"/>
      </w:rPr>
    </w:lvl>
    <w:lvl w:ilvl="5">
      <w:start w:val="1"/>
      <w:numFmt w:val="bullet"/>
      <w:lvlText w:val=""/>
      <w:lvlJc w:val="left"/>
      <w:pPr>
        <w:tabs>
          <w:tab w:val="num" w:pos="0"/>
        </w:tabs>
        <w:ind w:left="4950" w:hanging="360"/>
      </w:pPr>
      <w:rPr>
        <w:rFonts w:ascii="Wingdings" w:hAnsi="Wingdings" w:cs="Wingdings" w:hint="default"/>
      </w:rPr>
    </w:lvl>
    <w:lvl w:ilvl="6">
      <w:start w:val="1"/>
      <w:numFmt w:val="bullet"/>
      <w:lvlText w:val=""/>
      <w:lvlJc w:val="left"/>
      <w:pPr>
        <w:tabs>
          <w:tab w:val="num" w:pos="0"/>
        </w:tabs>
        <w:ind w:left="5670" w:hanging="360"/>
      </w:pPr>
      <w:rPr>
        <w:rFonts w:ascii="Symbol" w:hAnsi="Symbol" w:cs="Symbol" w:hint="default"/>
      </w:rPr>
    </w:lvl>
    <w:lvl w:ilvl="7">
      <w:start w:val="1"/>
      <w:numFmt w:val="bullet"/>
      <w:lvlText w:val="o"/>
      <w:lvlJc w:val="left"/>
      <w:pPr>
        <w:tabs>
          <w:tab w:val="num" w:pos="0"/>
        </w:tabs>
        <w:ind w:left="6390" w:hanging="360"/>
      </w:pPr>
      <w:rPr>
        <w:rFonts w:ascii="Courier New" w:hAnsi="Courier New" w:cs="Courier New" w:hint="default"/>
      </w:rPr>
    </w:lvl>
    <w:lvl w:ilvl="8">
      <w:start w:val="1"/>
      <w:numFmt w:val="bullet"/>
      <w:lvlText w:val=""/>
      <w:lvlJc w:val="left"/>
      <w:pPr>
        <w:tabs>
          <w:tab w:val="num" w:pos="0"/>
        </w:tabs>
        <w:ind w:left="7110" w:hanging="360"/>
      </w:pPr>
      <w:rPr>
        <w:rFonts w:ascii="Wingdings" w:hAnsi="Wingdings" w:cs="Wingdings" w:hint="default"/>
      </w:rPr>
    </w:lvl>
  </w:abstractNum>
  <w:abstractNum w:abstractNumId="17">
    <w:lvl w:ilvl="0">
      <w:start w:val="1"/>
      <w:numFmt w:val="bullet"/>
      <w:lvlText w:val=""/>
      <w:lvlJc w:val="left"/>
      <w:pPr>
        <w:tabs>
          <w:tab w:val="num" w:pos="0"/>
        </w:tabs>
        <w:ind w:left="163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9">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0">
    <w:lvl w:ilvl="0">
      <w:start w:val="1"/>
      <w:numFmt w:val="decimal"/>
      <w:lvlText w:val="%1."/>
      <w:lvlJc w:val="left"/>
      <w:pPr>
        <w:tabs>
          <w:tab w:val="num" w:pos="0"/>
        </w:tabs>
        <w:ind w:left="2204" w:hanging="360"/>
      </w:pPr>
      <w:rPr>
        <w:b/>
      </w:rPr>
    </w:lvl>
    <w:lvl w:ilvl="1">
      <w:start w:val="1"/>
      <w:numFmt w:val="bullet"/>
      <w:lvlText w:val=""/>
      <w:lvlJc w:val="left"/>
      <w:pPr>
        <w:tabs>
          <w:tab w:val="num" w:pos="0"/>
        </w:tabs>
        <w:ind w:left="574" w:hanging="432"/>
      </w:pPr>
      <w:rPr>
        <w:rFonts w:ascii="Symbol" w:hAnsi="Symbol" w:cs="Symbol" w:hint="default"/>
        <w:u w:val="none"/>
        <w:b w:val="false"/>
        <w:color w:val="auto"/>
      </w:rPr>
    </w:lvl>
    <w:lvl w:ilvl="2">
      <w:start w:val="1"/>
      <w:numFmt w:val="bullet"/>
      <w:lvlText w:val=""/>
      <w:lvlJc w:val="left"/>
      <w:pPr>
        <w:tabs>
          <w:tab w:val="num" w:pos="0"/>
        </w:tabs>
        <w:ind w:left="6317" w:hanging="504"/>
      </w:pPr>
      <w:rPr>
        <w:rFonts w:ascii="Symbol" w:hAnsi="Symbol" w:cs="Symbol" w:hint="default"/>
        <w:sz w:val="24"/>
        <w:u w:val="none"/>
        <w:b w:val="false"/>
        <w:szCs w:val="24"/>
        <w:color w:val="auto"/>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1">
    <w:lvl w:ilvl="0">
      <w:start w:val="1"/>
      <w:numFmt w:val="decimal"/>
      <w:lvlText w:val="%1."/>
      <w:lvlJc w:val="left"/>
      <w:pPr>
        <w:tabs>
          <w:tab w:val="num" w:pos="0"/>
        </w:tabs>
        <w:ind w:left="2204" w:hanging="360"/>
      </w:pPr>
      <w:rPr>
        <w:b/>
      </w:rPr>
    </w:lvl>
    <w:lvl w:ilvl="1">
      <w:start w:val="1"/>
      <w:numFmt w:val="decimal"/>
      <w:lvlText w:val="%1.%2."/>
      <w:lvlJc w:val="left"/>
      <w:pPr>
        <w:tabs>
          <w:tab w:val="num" w:pos="0"/>
        </w:tabs>
        <w:ind w:left="1000" w:hanging="432"/>
      </w:pPr>
      <w:rPr>
        <w:u w:val="none"/>
        <w:b w:val="false"/>
      </w:rPr>
    </w:lvl>
    <w:lvl w:ilvl="2">
      <w:start w:val="1"/>
      <w:numFmt w:val="decimal"/>
      <w:lvlText w:val="%1.%2.%3."/>
      <w:lvlJc w:val="left"/>
      <w:pPr>
        <w:tabs>
          <w:tab w:val="num" w:pos="0"/>
        </w:tabs>
        <w:ind w:left="1497" w:hanging="504"/>
      </w:pPr>
      <w:rPr>
        <w:sz w:val="24"/>
        <w:b w:val="false"/>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2">
    <w:lvl w:ilvl="0">
      <w:start w:val="1"/>
      <w:numFmt w:val="bullet"/>
      <w:lvlText w:val="–"/>
      <w:lvlJc w:val="left"/>
      <w:pPr>
        <w:tabs>
          <w:tab w:val="num" w:pos="0"/>
        </w:tabs>
        <w:ind w:left="1429" w:hanging="360"/>
      </w:pPr>
      <w:rPr>
        <w:rFonts w:ascii="Times New Roman" w:hAnsi="Times New Roman" w:cs="Times New Roman" w:hint="default"/>
        <w:color w:val="000000"/>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3">
    <w:lvl w:ilvl="0">
      <w:start w:val="1"/>
      <w:numFmt w:val="decimal"/>
      <w:lvlText w:val="%1"/>
      <w:lvlJc w:val="left"/>
      <w:pPr>
        <w:tabs>
          <w:tab w:val="num" w:pos="0"/>
        </w:tabs>
        <w:ind w:left="480" w:hanging="480"/>
      </w:pPr>
      <w:rPr/>
    </w:lvl>
    <w:lvl w:ilvl="1">
      <w:start w:val="3"/>
      <w:numFmt w:val="decimal"/>
      <w:lvlText w:val="%1.%2"/>
      <w:lvlJc w:val="left"/>
      <w:pPr>
        <w:tabs>
          <w:tab w:val="num" w:pos="0"/>
        </w:tabs>
        <w:ind w:left="834" w:hanging="480"/>
      </w:pPr>
      <w:rPr/>
    </w:lvl>
    <w:lvl w:ilvl="2">
      <w:start w:val="2"/>
      <w:numFmt w:val="decimal"/>
      <w:lvlText w:val="%1.%2.%3"/>
      <w:lvlJc w:val="left"/>
      <w:pPr>
        <w:tabs>
          <w:tab w:val="num" w:pos="0"/>
        </w:tabs>
        <w:ind w:left="1428" w:hanging="720"/>
      </w:pPr>
      <w:rPr/>
    </w:lvl>
    <w:lvl w:ilvl="3">
      <w:start w:val="1"/>
      <w:numFmt w:val="decimal"/>
      <w:lvlText w:val="%1.%2.%3.%4"/>
      <w:lvlJc w:val="left"/>
      <w:pPr>
        <w:tabs>
          <w:tab w:val="num" w:pos="0"/>
        </w:tabs>
        <w:ind w:left="1782" w:hanging="720"/>
      </w:pPr>
      <w:rPr/>
    </w:lvl>
    <w:lvl w:ilvl="4">
      <w:start w:val="1"/>
      <w:numFmt w:val="decimal"/>
      <w:lvlText w:val="%1.%2.%3.%4.%5"/>
      <w:lvlJc w:val="left"/>
      <w:pPr>
        <w:tabs>
          <w:tab w:val="num" w:pos="0"/>
        </w:tabs>
        <w:ind w:left="2496" w:hanging="1080"/>
      </w:pPr>
      <w:rPr/>
    </w:lvl>
    <w:lvl w:ilvl="5">
      <w:start w:val="1"/>
      <w:numFmt w:val="decimal"/>
      <w:lvlText w:val="%1.%2.%3.%4.%5.%6"/>
      <w:lvlJc w:val="left"/>
      <w:pPr>
        <w:tabs>
          <w:tab w:val="num" w:pos="0"/>
        </w:tabs>
        <w:ind w:left="2850" w:hanging="1080"/>
      </w:pPr>
      <w:rPr/>
    </w:lvl>
    <w:lvl w:ilvl="6">
      <w:start w:val="1"/>
      <w:numFmt w:val="decimal"/>
      <w:lvlText w:val="%1.%2.%3.%4.%5.%6.%7"/>
      <w:lvlJc w:val="left"/>
      <w:pPr>
        <w:tabs>
          <w:tab w:val="num" w:pos="0"/>
        </w:tabs>
        <w:ind w:left="3564" w:hanging="1440"/>
      </w:pPr>
      <w:rPr/>
    </w:lvl>
    <w:lvl w:ilvl="7">
      <w:start w:val="1"/>
      <w:numFmt w:val="decimal"/>
      <w:lvlText w:val="%1.%2.%3.%4.%5.%6.%7.%8"/>
      <w:lvlJc w:val="left"/>
      <w:pPr>
        <w:tabs>
          <w:tab w:val="num" w:pos="0"/>
        </w:tabs>
        <w:ind w:left="3918" w:hanging="1440"/>
      </w:pPr>
      <w:rPr/>
    </w:lvl>
    <w:lvl w:ilvl="8">
      <w:start w:val="1"/>
      <w:numFmt w:val="decimal"/>
      <w:lvlText w:val="%1.%2.%3.%4.%5.%6.%7.%8.%9"/>
      <w:lvlJc w:val="left"/>
      <w:pPr>
        <w:tabs>
          <w:tab w:val="num" w:pos="0"/>
        </w:tabs>
        <w:ind w:left="4632" w:hanging="1800"/>
      </w:pPr>
      <w:rPr/>
    </w:lvl>
  </w:abstractNum>
  <w:abstractNum w:abstractNumId="24">
    <w:lvl w:ilvl="0">
      <w:start w:val="7"/>
      <w:numFmt w:val="decimal"/>
      <w:lvlText w:val="%1"/>
      <w:lvlJc w:val="left"/>
      <w:pPr>
        <w:tabs>
          <w:tab w:val="num" w:pos="0"/>
        </w:tabs>
        <w:ind w:left="420" w:hanging="420"/>
      </w:pPr>
      <w:rPr>
        <w:sz w:val="24"/>
      </w:rPr>
    </w:lvl>
    <w:lvl w:ilvl="1">
      <w:start w:val="13"/>
      <w:numFmt w:val="decimal"/>
      <w:lvlText w:val="%1.%2"/>
      <w:lvlJc w:val="left"/>
      <w:pPr>
        <w:tabs>
          <w:tab w:val="num" w:pos="0"/>
        </w:tabs>
        <w:ind w:left="1129" w:hanging="420"/>
      </w:pPr>
      <w:rPr>
        <w:sz w:val="24"/>
      </w:rPr>
    </w:lvl>
    <w:lvl w:ilvl="2">
      <w:start w:val="1"/>
      <w:numFmt w:val="decimal"/>
      <w:lvlText w:val="%1.%2.%3"/>
      <w:lvlJc w:val="left"/>
      <w:pPr>
        <w:tabs>
          <w:tab w:val="num" w:pos="0"/>
        </w:tabs>
        <w:ind w:left="2138" w:hanging="720"/>
      </w:pPr>
      <w:rPr>
        <w:sz w:val="24"/>
      </w:rPr>
    </w:lvl>
    <w:lvl w:ilvl="3">
      <w:start w:val="1"/>
      <w:numFmt w:val="decimal"/>
      <w:lvlText w:val="%1.%2.%3.%4"/>
      <w:lvlJc w:val="left"/>
      <w:pPr>
        <w:tabs>
          <w:tab w:val="num" w:pos="0"/>
        </w:tabs>
        <w:ind w:left="3207" w:hanging="1080"/>
      </w:pPr>
      <w:rPr>
        <w:sz w:val="24"/>
      </w:rPr>
    </w:lvl>
    <w:lvl w:ilvl="4">
      <w:start w:val="1"/>
      <w:numFmt w:val="decimal"/>
      <w:lvlText w:val="%1.%2.%3.%4.%5"/>
      <w:lvlJc w:val="left"/>
      <w:pPr>
        <w:tabs>
          <w:tab w:val="num" w:pos="0"/>
        </w:tabs>
        <w:ind w:left="3916" w:hanging="1080"/>
      </w:pPr>
      <w:rPr>
        <w:sz w:val="24"/>
      </w:rPr>
    </w:lvl>
    <w:lvl w:ilvl="5">
      <w:start w:val="1"/>
      <w:numFmt w:val="decimal"/>
      <w:lvlText w:val="%1.%2.%3.%4.%5.%6"/>
      <w:lvlJc w:val="left"/>
      <w:pPr>
        <w:tabs>
          <w:tab w:val="num" w:pos="0"/>
        </w:tabs>
        <w:ind w:left="4985" w:hanging="1440"/>
      </w:pPr>
      <w:rPr>
        <w:sz w:val="24"/>
      </w:rPr>
    </w:lvl>
    <w:lvl w:ilvl="6">
      <w:start w:val="1"/>
      <w:numFmt w:val="decimal"/>
      <w:lvlText w:val="%1.%2.%3.%4.%5.%6.%7"/>
      <w:lvlJc w:val="left"/>
      <w:pPr>
        <w:tabs>
          <w:tab w:val="num" w:pos="0"/>
        </w:tabs>
        <w:ind w:left="5694" w:hanging="1440"/>
      </w:pPr>
      <w:rPr>
        <w:sz w:val="24"/>
      </w:rPr>
    </w:lvl>
    <w:lvl w:ilvl="7">
      <w:start w:val="1"/>
      <w:numFmt w:val="decimal"/>
      <w:lvlText w:val="%1.%2.%3.%4.%5.%6.%7.%8"/>
      <w:lvlJc w:val="left"/>
      <w:pPr>
        <w:tabs>
          <w:tab w:val="num" w:pos="0"/>
        </w:tabs>
        <w:ind w:left="6763" w:hanging="1800"/>
      </w:pPr>
      <w:rPr>
        <w:sz w:val="24"/>
      </w:rPr>
    </w:lvl>
    <w:lvl w:ilvl="8">
      <w:start w:val="1"/>
      <w:numFmt w:val="decimal"/>
      <w:lvlText w:val="%1.%2.%3.%4.%5.%6.%7.%8.%9"/>
      <w:lvlJc w:val="left"/>
      <w:pPr>
        <w:tabs>
          <w:tab w:val="num" w:pos="0"/>
        </w:tabs>
        <w:ind w:left="7832" w:hanging="2160"/>
      </w:pPr>
      <w:rPr>
        <w:sz w:val="24"/>
      </w:rPr>
    </w:lvl>
  </w:abstractNum>
  <w:abstractNum w:abstractNumId="25">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bering>
</file>

<file path=word/settings.xml><?xml version="1.0" encoding="utf-8"?>
<w:settings xmlns:w="http://schemas.openxmlformats.org/wordprocessingml/2006/main">
  <w:zoom w:percent="100"/>
  <w:defaultTabStop w:val="708"/>
  <w:autoHyphenation w:val="true"/>
  <w:footnotePr>
    <w:numFmt w:val="decimal"/>
    <w:footnote w:id="0"/>
    <w:footnote w:id="1"/>
  </w:foot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ahoma" w:cs="Lohit Devanagari"/>
        <w:lang w:val="ru-RU" w:eastAsia="ru-RU"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true"/>
      <w:bidi w:val="0"/>
      <w:spacing w:lineRule="auto" w:line="360" w:before="0" w:after="0"/>
      <w:ind w:firstLine="567"/>
      <w:jc w:val="both"/>
    </w:pPr>
    <w:rPr>
      <w:rFonts w:ascii="Times New Roman" w:hAnsi="Times New Roman" w:eastAsia="Tahoma" w:cs="Lohit Devanagari"/>
      <w:color w:val="auto"/>
      <w:kern w:val="0"/>
      <w:sz w:val="28"/>
      <w:szCs w:val="28"/>
      <w:lang w:val="ru-RU" w:eastAsia="ru-RU" w:bidi="ar-SA"/>
    </w:rPr>
  </w:style>
  <w:style w:type="paragraph" w:styleId="Heading1">
    <w:name w:val="Heading 1"/>
    <w:basedOn w:val="Normal"/>
    <w:next w:val="Normal"/>
    <w:link w:val="11"/>
    <w:qFormat/>
    <w:pPr>
      <w:keepNext w:val="true"/>
      <w:spacing w:before="240" w:after="60"/>
      <w:outlineLvl w:val="0"/>
    </w:pPr>
    <w:rPr>
      <w:rFonts w:ascii="Cambria" w:hAnsi="Cambria"/>
      <w:b/>
      <w:bCs/>
      <w:sz w:val="32"/>
      <w:szCs w:val="32"/>
    </w:rPr>
  </w:style>
  <w:style w:type="paragraph" w:styleId="Heading2">
    <w:name w:val="Heading 2"/>
    <w:basedOn w:val="Normal"/>
    <w:next w:val="Normal"/>
    <w:link w:val="21"/>
    <w:qFormat/>
    <w:pPr>
      <w:keepNext w:val="true"/>
      <w:spacing w:before="240" w:after="60"/>
      <w:outlineLvl w:val="1"/>
    </w:pPr>
    <w:rPr>
      <w:rFonts w:ascii="Cambria" w:hAnsi="Cambria"/>
      <w:b/>
      <w:bCs/>
      <w:i/>
      <w:iCs/>
    </w:rPr>
  </w:style>
  <w:style w:type="paragraph" w:styleId="Heading3">
    <w:name w:val="Heading 3"/>
    <w:basedOn w:val="Normal"/>
    <w:next w:val="Normal"/>
    <w:link w:val="3"/>
    <w:uiPriority w:val="9"/>
    <w:qFormat/>
    <w:pPr>
      <w:keepNext w:val="true"/>
      <w:spacing w:lineRule="auto" w:line="240" w:before="120" w:after="120"/>
      <w:ind w:hanging="0"/>
      <w:jc w:val="left"/>
      <w:outlineLvl w:val="2"/>
    </w:pPr>
    <w:rPr>
      <w:b/>
      <w:szCs w:val="20"/>
    </w:rPr>
  </w:style>
  <w:style w:type="paragraph" w:styleId="Heading4">
    <w:name w:val="Heading 4"/>
    <w:basedOn w:val="Normal"/>
    <w:next w:val="Normal"/>
    <w:link w:val="4"/>
    <w:uiPriority w:val="9"/>
    <w:unhideWhenUsed/>
    <w:qFormat/>
    <w:pPr>
      <w:keepNext w:val="true"/>
      <w:keepLines/>
      <w:spacing w:before="320" w:after="200"/>
      <w:outlineLvl w:val="3"/>
    </w:pPr>
    <w:rPr>
      <w:rFonts w:ascii="Arial" w:hAnsi="Arial" w:eastAsia="Arial" w:cs="Arial"/>
      <w:b/>
      <w:bCs/>
      <w:sz w:val="26"/>
      <w:szCs w:val="26"/>
    </w:rPr>
  </w:style>
  <w:style w:type="paragraph" w:styleId="Heading5">
    <w:name w:val="Heading 5"/>
    <w:basedOn w:val="Normal"/>
    <w:next w:val="Normal"/>
    <w:link w:val="5"/>
    <w:uiPriority w:val="9"/>
    <w:unhideWhenUsed/>
    <w:qFormat/>
    <w:pPr>
      <w:keepNext w:val="true"/>
      <w:keepLines/>
      <w:spacing w:before="320" w:after="200"/>
      <w:outlineLvl w:val="4"/>
    </w:pPr>
    <w:rPr>
      <w:rFonts w:ascii="Arial" w:hAnsi="Arial" w:eastAsia="Arial" w:cs="Arial"/>
      <w:b/>
      <w:bCs/>
      <w:sz w:val="24"/>
      <w:szCs w:val="24"/>
    </w:rPr>
  </w:style>
  <w:style w:type="paragraph" w:styleId="Heading6">
    <w:name w:val="Heading 6"/>
    <w:basedOn w:val="Normal"/>
    <w:next w:val="Normal"/>
    <w:link w:val="6"/>
    <w:uiPriority w:val="9"/>
    <w:unhideWhenUsed/>
    <w:qFormat/>
    <w:pPr>
      <w:keepNext w:val="true"/>
      <w:keepLines/>
      <w:spacing w:before="320" w:after="200"/>
      <w:outlineLvl w:val="5"/>
    </w:pPr>
    <w:rPr>
      <w:rFonts w:ascii="Arial" w:hAnsi="Arial" w:eastAsia="Arial" w:cs="Arial"/>
      <w:b/>
      <w:bCs/>
      <w:sz w:val="22"/>
      <w:szCs w:val="22"/>
    </w:rPr>
  </w:style>
  <w:style w:type="paragraph" w:styleId="Heading7">
    <w:name w:val="Heading 7"/>
    <w:basedOn w:val="Normal"/>
    <w:next w:val="Normal"/>
    <w:link w:val="7"/>
    <w:uiPriority w:val="9"/>
    <w:unhideWhenUsed/>
    <w:qFormat/>
    <w:pPr>
      <w:keepNext w:val="true"/>
      <w:keepLines/>
      <w:spacing w:before="320" w:after="200"/>
      <w:outlineLvl w:val="6"/>
    </w:pPr>
    <w:rPr>
      <w:rFonts w:ascii="Arial" w:hAnsi="Arial" w:eastAsia="Arial" w:cs="Arial"/>
      <w:b/>
      <w:bCs/>
      <w:i/>
      <w:iCs/>
      <w:sz w:val="22"/>
      <w:szCs w:val="22"/>
    </w:rPr>
  </w:style>
  <w:style w:type="paragraph" w:styleId="Heading8">
    <w:name w:val="Heading 8"/>
    <w:basedOn w:val="Normal"/>
    <w:next w:val="Normal"/>
    <w:link w:val="8"/>
    <w:uiPriority w:val="9"/>
    <w:unhideWhenUsed/>
    <w:qFormat/>
    <w:pPr>
      <w:keepNext w:val="true"/>
      <w:keepLines/>
      <w:spacing w:before="320" w:after="200"/>
      <w:outlineLvl w:val="7"/>
    </w:pPr>
    <w:rPr>
      <w:rFonts w:ascii="Arial" w:hAnsi="Arial" w:eastAsia="Arial" w:cs="Arial"/>
      <w:i/>
      <w:iCs/>
      <w:sz w:val="22"/>
      <w:szCs w:val="22"/>
    </w:rPr>
  </w:style>
  <w:style w:type="paragraph" w:styleId="Heading9">
    <w:name w:val="Heading 9"/>
    <w:basedOn w:val="Normal"/>
    <w:next w:val="Normal"/>
    <w:link w:val="9"/>
    <w:uiPriority w:val="9"/>
    <w:unhideWhenUsed/>
    <w:qFormat/>
    <w:pPr>
      <w:keepNext w:val="true"/>
      <w:keepLines/>
      <w:spacing w:before="320" w:after="200"/>
      <w:outlineLvl w:val="8"/>
    </w:pPr>
    <w:rPr>
      <w:rFonts w:ascii="Arial" w:hAnsi="Arial" w:eastAsia="Arial" w:cs="Arial"/>
      <w:i/>
      <w:iCs/>
      <w:sz w:val="21"/>
      <w:szCs w:val="21"/>
    </w:rPr>
  </w:style>
  <w:style w:type="character" w:styleId="Heading4Char">
    <w:name w:val="Heading 4 Char"/>
    <w:basedOn w:val="DefaultParagraphFont"/>
    <w:uiPriority w:val="9"/>
    <w:qFormat/>
    <w:rPr>
      <w:rFonts w:ascii="Arial" w:hAnsi="Arial" w:eastAsia="Arial" w:cs="Arial"/>
      <w:b/>
      <w:bCs/>
      <w:sz w:val="26"/>
      <w:szCs w:val="26"/>
    </w:rPr>
  </w:style>
  <w:style w:type="character" w:styleId="Heading5Char">
    <w:name w:val="Heading 5 Char"/>
    <w:basedOn w:val="DefaultParagraphFont"/>
    <w:uiPriority w:val="9"/>
    <w:qFormat/>
    <w:rPr>
      <w:rFonts w:ascii="Arial" w:hAnsi="Arial" w:eastAsia="Arial" w:cs="Arial"/>
      <w:b/>
      <w:bCs/>
      <w:sz w:val="24"/>
      <w:szCs w:val="24"/>
    </w:rPr>
  </w:style>
  <w:style w:type="character" w:styleId="Heading6Char">
    <w:name w:val="Heading 6 Char"/>
    <w:basedOn w:val="DefaultParagraphFont"/>
    <w:uiPriority w:val="9"/>
    <w:qFormat/>
    <w:rPr>
      <w:rFonts w:ascii="Arial" w:hAnsi="Arial" w:eastAsia="Arial" w:cs="Arial"/>
      <w:b/>
      <w:bCs/>
      <w:sz w:val="22"/>
      <w:szCs w:val="22"/>
    </w:rPr>
  </w:style>
  <w:style w:type="character" w:styleId="Heading7Char">
    <w:name w:val="Heading 7 Char"/>
    <w:basedOn w:val="DefaultParagraphFont"/>
    <w:uiPriority w:val="9"/>
    <w:qFormat/>
    <w:rPr>
      <w:rFonts w:ascii="Arial" w:hAnsi="Arial" w:eastAsia="Arial" w:cs="Arial"/>
      <w:b/>
      <w:bCs/>
      <w:i/>
      <w:iCs/>
      <w:sz w:val="22"/>
      <w:szCs w:val="22"/>
    </w:rPr>
  </w:style>
  <w:style w:type="character" w:styleId="Heading8Char">
    <w:name w:val="Heading 8 Char"/>
    <w:basedOn w:val="DefaultParagraphFont"/>
    <w:uiPriority w:val="9"/>
    <w:qFormat/>
    <w:rPr>
      <w:rFonts w:ascii="Arial" w:hAnsi="Arial" w:eastAsia="Arial" w:cs="Arial"/>
      <w:i/>
      <w:iCs/>
      <w:sz w:val="22"/>
      <w:szCs w:val="22"/>
    </w:rPr>
  </w:style>
  <w:style w:type="character" w:styleId="Heading9Char">
    <w:name w:val="Heading 9 Char"/>
    <w:basedOn w:val="DefaultParagraphFont"/>
    <w:uiPriority w:val="9"/>
    <w:qFormat/>
    <w:rPr>
      <w:rFonts w:ascii="Arial" w:hAnsi="Arial" w:eastAsia="Arial" w:cs="Arial"/>
      <w:i/>
      <w:iCs/>
      <w:sz w:val="21"/>
      <w:szCs w:val="21"/>
    </w:rPr>
  </w:style>
  <w:style w:type="character" w:styleId="SubtitleChar">
    <w:name w:val="Subtitle Char"/>
    <w:basedOn w:val="DefaultParagraphFont"/>
    <w:uiPriority w:val="11"/>
    <w:qFormat/>
    <w:rPr>
      <w:sz w:val="24"/>
      <w:szCs w:val="24"/>
    </w:rPr>
  </w:style>
  <w:style w:type="character" w:styleId="QuoteChar">
    <w:name w:val="Quote Char"/>
    <w:link w:val="Quote"/>
    <w:uiPriority w:val="29"/>
    <w:qFormat/>
    <w:rPr>
      <w:i/>
    </w:rPr>
  </w:style>
  <w:style w:type="character" w:styleId="IntenseQuoteChar">
    <w:name w:val="Intense Quote Char"/>
    <w:link w:val="IntenseQuote"/>
    <w:uiPriority w:val="30"/>
    <w:qFormat/>
    <w:rPr>
      <w:i/>
    </w:rPr>
  </w:style>
  <w:style w:type="character" w:styleId="HeaderChar">
    <w:name w:val="Header Char"/>
    <w:basedOn w:val="DefaultParagraphFont"/>
    <w:uiPriority w:val="99"/>
    <w:qFormat/>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uiPriority w:val="9"/>
    <w:qFormat/>
    <w:rPr>
      <w:rFonts w:ascii="Arial" w:hAnsi="Arial" w:eastAsia="Arial" w:cs="Arial"/>
      <w:sz w:val="40"/>
      <w:szCs w:val="40"/>
    </w:rPr>
  </w:style>
  <w:style w:type="character" w:styleId="Heading2Char" w:customStyle="1">
    <w:name w:val="Heading 2 Char"/>
    <w:basedOn w:val="DefaultParagraphFont"/>
    <w:uiPriority w:val="9"/>
    <w:qFormat/>
    <w:rPr>
      <w:rFonts w:ascii="Arial" w:hAnsi="Arial" w:eastAsia="Arial" w:cs="Arial"/>
      <w:sz w:val="34"/>
    </w:rPr>
  </w:style>
  <w:style w:type="character" w:styleId="Heading3Char" w:customStyle="1">
    <w:name w:val="Heading 3 Char"/>
    <w:basedOn w:val="DefaultParagraphFont"/>
    <w:uiPriority w:val="9"/>
    <w:qFormat/>
    <w:rPr>
      <w:rFonts w:ascii="Arial" w:hAnsi="Arial" w:eastAsia="Arial" w:cs="Arial"/>
      <w:sz w:val="30"/>
      <w:szCs w:val="30"/>
    </w:rPr>
  </w:style>
  <w:style w:type="character" w:styleId="4" w:customStyle="1">
    <w:name w:val="Заголовок 4 Знак"/>
    <w:basedOn w:val="DefaultParagraphFont"/>
    <w:uiPriority w:val="9"/>
    <w:qFormat/>
    <w:rPr>
      <w:rFonts w:ascii="Arial" w:hAnsi="Arial" w:eastAsia="Arial" w:cs="Arial"/>
      <w:b/>
      <w:bCs/>
      <w:sz w:val="26"/>
      <w:szCs w:val="26"/>
    </w:rPr>
  </w:style>
  <w:style w:type="character" w:styleId="5" w:customStyle="1">
    <w:name w:val="Заголовок 5 Знак"/>
    <w:basedOn w:val="DefaultParagraphFont"/>
    <w:uiPriority w:val="9"/>
    <w:qFormat/>
    <w:rPr>
      <w:rFonts w:ascii="Arial" w:hAnsi="Arial" w:eastAsia="Arial" w:cs="Arial"/>
      <w:b/>
      <w:bCs/>
      <w:sz w:val="24"/>
      <w:szCs w:val="24"/>
    </w:rPr>
  </w:style>
  <w:style w:type="character" w:styleId="6" w:customStyle="1">
    <w:name w:val="Заголовок 6 Знак"/>
    <w:basedOn w:val="DefaultParagraphFont"/>
    <w:uiPriority w:val="9"/>
    <w:qFormat/>
    <w:rPr>
      <w:rFonts w:ascii="Arial" w:hAnsi="Arial" w:eastAsia="Arial" w:cs="Arial"/>
      <w:b/>
      <w:bCs/>
      <w:sz w:val="22"/>
      <w:szCs w:val="22"/>
    </w:rPr>
  </w:style>
  <w:style w:type="character" w:styleId="7" w:customStyle="1">
    <w:name w:val="Заголовок 7 Знак"/>
    <w:basedOn w:val="DefaultParagraphFont"/>
    <w:uiPriority w:val="9"/>
    <w:qFormat/>
    <w:rPr>
      <w:rFonts w:ascii="Arial" w:hAnsi="Arial" w:eastAsia="Arial" w:cs="Arial"/>
      <w:b/>
      <w:bCs/>
      <w:i/>
      <w:iCs/>
      <w:sz w:val="22"/>
      <w:szCs w:val="22"/>
    </w:rPr>
  </w:style>
  <w:style w:type="character" w:styleId="8" w:customStyle="1">
    <w:name w:val="Заголовок 8 Знак"/>
    <w:basedOn w:val="DefaultParagraphFont"/>
    <w:uiPriority w:val="9"/>
    <w:qFormat/>
    <w:rPr>
      <w:rFonts w:ascii="Arial" w:hAnsi="Arial" w:eastAsia="Arial" w:cs="Arial"/>
      <w:i/>
      <w:iCs/>
      <w:sz w:val="22"/>
      <w:szCs w:val="22"/>
    </w:rPr>
  </w:style>
  <w:style w:type="character" w:styleId="9" w:customStyle="1">
    <w:name w:val="Заголовок 9 Знак"/>
    <w:basedOn w:val="DefaultParagraphFont"/>
    <w:uiPriority w:val="9"/>
    <w:qFormat/>
    <w:rPr>
      <w:rFonts w:ascii="Arial" w:hAnsi="Arial" w:eastAsia="Arial" w:cs="Arial"/>
      <w:i/>
      <w:iCs/>
      <w:sz w:val="21"/>
      <w:szCs w:val="21"/>
    </w:rPr>
  </w:style>
  <w:style w:type="character" w:styleId="TitleChar" w:customStyle="1">
    <w:name w:val="Title Char"/>
    <w:basedOn w:val="DefaultParagraphFont"/>
    <w:uiPriority w:val="10"/>
    <w:qFormat/>
    <w:rPr>
      <w:sz w:val="48"/>
      <w:szCs w:val="48"/>
    </w:rPr>
  </w:style>
  <w:style w:type="character" w:styleId="Style5" w:customStyle="1">
    <w:name w:val="Подзаголовок Знак"/>
    <w:basedOn w:val="DefaultParagraphFont"/>
    <w:uiPriority w:val="11"/>
    <w:qFormat/>
    <w:rPr>
      <w:sz w:val="24"/>
      <w:szCs w:val="24"/>
    </w:rPr>
  </w:style>
  <w:style w:type="character" w:styleId="2" w:customStyle="1">
    <w:name w:val="Цитата 2 Знак"/>
    <w:link w:val="Quote"/>
    <w:uiPriority w:val="29"/>
    <w:qFormat/>
    <w:rPr>
      <w:i/>
    </w:rPr>
  </w:style>
  <w:style w:type="character" w:styleId="Style6" w:customStyle="1">
    <w:name w:val="Выделенная цитата Знак"/>
    <w:link w:val="IntenseQuote"/>
    <w:uiPriority w:val="30"/>
    <w:qFormat/>
    <w:rPr>
      <w:i/>
    </w:rPr>
  </w:style>
  <w:style w:type="character" w:styleId="Style7" w:customStyle="1">
    <w:name w:val="Верхний колонтитул Знак"/>
    <w:basedOn w:val="DefaultParagraphFont"/>
    <w:uiPriority w:val="99"/>
    <w:qFormat/>
    <w:rPr/>
  </w:style>
  <w:style w:type="character" w:styleId="FooterChar" w:customStyle="1">
    <w:name w:val="Footer Char"/>
    <w:basedOn w:val="DefaultParagraphFont"/>
    <w:uiPriority w:val="99"/>
    <w:qFormat/>
    <w:rPr/>
  </w:style>
  <w:style w:type="character" w:styleId="CaptionChar" w:customStyle="1">
    <w:name w:val="Caption Char"/>
    <w:uiPriority w:val="99"/>
    <w:qFormat/>
    <w:rPr/>
  </w:style>
  <w:style w:type="character" w:styleId="FootnoteTextChar" w:customStyle="1">
    <w:name w:val="Footnote Text Char"/>
    <w:uiPriority w:val="99"/>
    <w:qFormat/>
    <w:rPr>
      <w:sz w:val="18"/>
    </w:rPr>
  </w:style>
  <w:style w:type="character" w:styleId="EndnoteTextChar" w:customStyle="1">
    <w:name w:val="Endnote Text Char"/>
    <w:uiPriority w:val="99"/>
    <w:qFormat/>
    <w:rPr>
      <w:sz w:val="20"/>
    </w:rPr>
  </w:style>
  <w:style w:type="character" w:styleId="Style8">
    <w:name w:val="Символ сноски"/>
    <w:uiPriority w:val="99"/>
    <w:qFormat/>
    <w:rPr>
      <w:vertAlign w:val="superscript"/>
    </w:rPr>
  </w:style>
  <w:style w:type="character" w:styleId="FootnoteReference">
    <w:name w:val="Footnote Reference"/>
    <w:rPr>
      <w:vertAlign w:val="superscript"/>
    </w:rPr>
  </w:style>
  <w:style w:type="character" w:styleId="3" w:customStyle="1">
    <w:name w:val="Заголовок 3 Знак"/>
    <w:qFormat/>
    <w:rPr>
      <w:b/>
      <w:sz w:val="28"/>
    </w:rPr>
  </w:style>
  <w:style w:type="character" w:styleId="31" w:customStyle="1">
    <w:name w:val="3. Подпункт Знак"/>
    <w:link w:val="33"/>
    <w:qFormat/>
    <w:rPr>
      <w:b/>
      <w:bCs/>
      <w:sz w:val="24"/>
      <w:szCs w:val="24"/>
    </w:rPr>
  </w:style>
  <w:style w:type="character" w:styleId="Style9" w:customStyle="1">
    <w:name w:val="Текст выноски Знак"/>
    <w:link w:val="BalloonText"/>
    <w:qFormat/>
    <w:rPr>
      <w:rFonts w:ascii="Tahoma" w:hAnsi="Tahoma" w:cs="Tahoma"/>
      <w:sz w:val="16"/>
      <w:szCs w:val="16"/>
    </w:rPr>
  </w:style>
  <w:style w:type="character" w:styleId="1" w:customStyle="1">
    <w:name w:val="1. Статья Знак"/>
    <w:link w:val="13"/>
    <w:qFormat/>
    <w:rPr>
      <w:sz w:val="24"/>
      <w:szCs w:val="24"/>
    </w:rPr>
  </w:style>
  <w:style w:type="character" w:styleId="41" w:customStyle="1">
    <w:name w:val="4. Отчерк Знак"/>
    <w:link w:val="42"/>
    <w:qFormat/>
    <w:rPr>
      <w:sz w:val="24"/>
      <w:szCs w:val="24"/>
    </w:rPr>
  </w:style>
  <w:style w:type="character" w:styleId="Annotationreference">
    <w:name w:val="annotation reference"/>
    <w:qFormat/>
    <w:rPr>
      <w:sz w:val="16"/>
      <w:szCs w:val="16"/>
    </w:rPr>
  </w:style>
  <w:style w:type="character" w:styleId="Style10" w:customStyle="1">
    <w:name w:val="Текст примечания Знак"/>
    <w:link w:val="Annotationtext"/>
    <w:qFormat/>
    <w:rPr/>
  </w:style>
  <w:style w:type="character" w:styleId="Style11" w:customStyle="1">
    <w:name w:val="Тема примечания Знак"/>
    <w:link w:val="Annotationsubject"/>
    <w:qFormat/>
    <w:rPr>
      <w:b/>
      <w:bCs/>
    </w:rPr>
  </w:style>
  <w:style w:type="character" w:styleId="Style12" w:customStyle="1">
    <w:name w:val="Нижний колонтитул Знак"/>
    <w:uiPriority w:val="99"/>
    <w:qFormat/>
    <w:rPr>
      <w:sz w:val="28"/>
      <w:szCs w:val="28"/>
    </w:rPr>
  </w:style>
  <w:style w:type="character" w:styleId="32" w:customStyle="1">
    <w:name w:val="Основной текст 3 Знак"/>
    <w:link w:val="BodyText3"/>
    <w:qFormat/>
    <w:rPr>
      <w:color w:val="0000FF"/>
      <w:sz w:val="24"/>
      <w:szCs w:val="24"/>
      <w:lang w:eastAsia="en-US"/>
    </w:rPr>
  </w:style>
  <w:style w:type="character" w:styleId="Style13" w:customStyle="1">
    <w:name w:val="Название Знак"/>
    <w:qFormat/>
    <w:rPr>
      <w:b/>
      <w:sz w:val="22"/>
      <w:szCs w:val="22"/>
      <w:shd w:fill="FFFFFF" w:val="clear"/>
    </w:rPr>
  </w:style>
  <w:style w:type="character" w:styleId="11" w:customStyle="1">
    <w:name w:val="Заголовок 1 Знак"/>
    <w:qFormat/>
    <w:rPr>
      <w:rFonts w:ascii="Cambria" w:hAnsi="Cambria" w:eastAsia="Times New Roman" w:cs="Times New Roman"/>
      <w:b/>
      <w:bCs/>
      <w:sz w:val="32"/>
      <w:szCs w:val="32"/>
    </w:rPr>
  </w:style>
  <w:style w:type="character" w:styleId="21" w:customStyle="1">
    <w:name w:val="Заголовок 2 Знак"/>
    <w:semiHidden/>
    <w:qFormat/>
    <w:rPr>
      <w:rFonts w:ascii="Cambria" w:hAnsi="Cambria" w:eastAsia="Times New Roman" w:cs="Times New Roman"/>
      <w:b/>
      <w:bCs/>
      <w:i/>
      <w:iCs/>
      <w:sz w:val="28"/>
      <w:szCs w:val="28"/>
    </w:rPr>
  </w:style>
  <w:style w:type="character" w:styleId="Style14" w:customStyle="1">
    <w:name w:val="Основной текст с отступом Знак"/>
    <w:qFormat/>
    <w:rPr>
      <w:sz w:val="28"/>
      <w:szCs w:val="28"/>
    </w:rPr>
  </w:style>
  <w:style w:type="character" w:styleId="FontStyle16" w:customStyle="1">
    <w:name w:val="Font Style16"/>
    <w:qFormat/>
    <w:rPr>
      <w:rFonts w:ascii="Times New Roman" w:hAnsi="Times New Roman" w:cs="Times New Roman"/>
      <w:sz w:val="24"/>
      <w:szCs w:val="24"/>
    </w:rPr>
  </w:style>
  <w:style w:type="character" w:styleId="Style15" w:customStyle="1">
    <w:name w:val="Текст сноски Знак"/>
    <w:uiPriority w:val="99"/>
    <w:qFormat/>
    <w:rPr/>
  </w:style>
  <w:style w:type="character" w:styleId="Hyperlink">
    <w:name w:val="Hyperlink"/>
    <w:uiPriority w:val="99"/>
    <w:unhideWhenUsed/>
    <w:rPr>
      <w:color w:val="0000FF"/>
      <w:u w:val="single"/>
    </w:rPr>
  </w:style>
  <w:style w:type="character" w:styleId="Style16" w:customStyle="1">
    <w:name w:val="Текст концевой сноски Знак"/>
    <w:uiPriority w:val="99"/>
    <w:semiHidden/>
    <w:qFormat/>
    <w:rPr/>
  </w:style>
  <w:style w:type="character" w:styleId="Style17">
    <w:name w:val="Символ концевой сноски"/>
    <w:uiPriority w:val="99"/>
    <w:semiHidden/>
    <w:unhideWhenUsed/>
    <w:qFormat/>
    <w:rPr>
      <w:vertAlign w:val="superscript"/>
    </w:rPr>
  </w:style>
  <w:style w:type="character" w:styleId="EndnoteReference">
    <w:name w:val="Endnote Reference"/>
    <w:rPr>
      <w:vertAlign w:val="superscript"/>
    </w:rPr>
  </w:style>
  <w:style w:type="character" w:styleId="22" w:customStyle="1">
    <w:name w:val="Основной текст (2)_"/>
    <w:basedOn w:val="DefaultParagraphFont"/>
    <w:link w:val="25"/>
    <w:qFormat/>
    <w:rPr>
      <w:rFonts w:ascii="MS Reference Sans Serif" w:hAnsi="MS Reference Sans Serif" w:eastAsia="MS Reference Sans Serif" w:cs="MS Reference Sans Serif"/>
      <w:sz w:val="19"/>
      <w:szCs w:val="19"/>
      <w:shd w:fill="FFFFFF" w:val="clear"/>
    </w:rPr>
  </w:style>
  <w:style w:type="character" w:styleId="210pt" w:customStyle="1">
    <w:name w:val="Основной текст (2) + 10 pt;Курсив"/>
    <w:basedOn w:val="22"/>
    <w:qFormat/>
    <w:rPr>
      <w:rFonts w:ascii="MS Reference Sans Serif" w:hAnsi="MS Reference Sans Serif" w:eastAsia="MS Reference Sans Serif" w:cs="MS Reference Sans Serif"/>
      <w:i/>
      <w:iCs/>
      <w:color w:val="000000"/>
      <w:spacing w:val="0"/>
      <w:sz w:val="20"/>
      <w:szCs w:val="20"/>
      <w:shd w:fill="FFFFFF" w:val="clear"/>
      <w:lang w:val="ru-RU" w:eastAsia="ru-RU" w:bidi="ru-RU"/>
    </w:rPr>
  </w:style>
  <w:style w:type="character" w:styleId="Style18" w:customStyle="1">
    <w:name w:val="Колонтитул_"/>
    <w:basedOn w:val="DefaultParagraphFont"/>
    <w:link w:val="15"/>
    <w:qFormat/>
    <w:rPr>
      <w:rFonts w:ascii="Segoe UI" w:hAnsi="Segoe UI" w:eastAsia="Segoe UI" w:cs="Segoe UI"/>
      <w:sz w:val="21"/>
      <w:szCs w:val="21"/>
      <w:shd w:fill="FFFFFF" w:val="clear"/>
    </w:rPr>
  </w:style>
  <w:style w:type="character" w:styleId="210pt37pt" w:customStyle="1">
    <w:name w:val="Основной текст (2) + 10 pt;Курсив;Интервал 37 pt"/>
    <w:basedOn w:val="22"/>
    <w:qFormat/>
    <w:rPr>
      <w:rFonts w:ascii="MS Reference Sans Serif" w:hAnsi="MS Reference Sans Serif" w:eastAsia="MS Reference Sans Serif" w:cs="MS Reference Sans Serif"/>
      <w:b w:val="false"/>
      <w:bCs w:val="false"/>
      <w:i/>
      <w:iCs/>
      <w:caps w:val="false"/>
      <w:smallCaps w:val="false"/>
      <w:strike w:val="false"/>
      <w:dstrike w:val="false"/>
      <w:color w:val="000000"/>
      <w:spacing w:val="750"/>
      <w:sz w:val="20"/>
      <w:szCs w:val="20"/>
      <w:u w:val="none"/>
      <w:shd w:fill="FFFFFF" w:val="clear"/>
      <w:lang w:val="en-US" w:eastAsia="en-US" w:bidi="en-US"/>
    </w:rPr>
  </w:style>
  <w:style w:type="character" w:styleId="MSReferenceSansSerif95pt" w:customStyle="1">
    <w:name w:val="Колонтитул + MS Reference Sans Serif;9;5 pt"/>
    <w:basedOn w:val="Style18"/>
    <w:qFormat/>
    <w:rPr>
      <w:rFonts w:ascii="MS Reference Sans Serif" w:hAnsi="MS Reference Sans Serif" w:eastAsia="MS Reference Sans Serif" w:cs="MS Reference Sans Serif"/>
      <w:color w:val="000000"/>
      <w:spacing w:val="0"/>
      <w:sz w:val="19"/>
      <w:szCs w:val="19"/>
      <w:shd w:fill="FFFFFF" w:val="clear"/>
      <w:lang w:val="ru-RU" w:eastAsia="ru-RU" w:bidi="ru-RU"/>
    </w:rPr>
  </w:style>
  <w:style w:type="character" w:styleId="210pt1" w:customStyle="1">
    <w:name w:val="Основной текст (2) + 10 pt;Курсив1"/>
    <w:basedOn w:val="22"/>
    <w:qFormat/>
    <w:rPr>
      <w:rFonts w:ascii="MS Reference Sans Serif" w:hAnsi="MS Reference Sans Serif" w:eastAsia="MS Reference Sans Serif" w:cs="MS Reference Sans Serif"/>
      <w:b w:val="false"/>
      <w:bCs w:val="false"/>
      <w:i/>
      <w:iCs/>
      <w:caps w:val="false"/>
      <w:smallCaps w:val="false"/>
      <w:strike w:val="false"/>
      <w:dstrike w:val="false"/>
      <w:color w:val="000000"/>
      <w:spacing w:val="0"/>
      <w:sz w:val="20"/>
      <w:szCs w:val="20"/>
      <w:u w:val="none"/>
      <w:shd w:fill="FFFFFF" w:val="clear"/>
      <w:lang w:val="ru-RU" w:eastAsia="ru-RU" w:bidi="ru-RU"/>
    </w:rPr>
  </w:style>
  <w:style w:type="character" w:styleId="Style19" w:customStyle="1">
    <w:name w:val="Подпись к картинке_"/>
    <w:basedOn w:val="DefaultParagraphFont"/>
    <w:link w:val="Style29"/>
    <w:qFormat/>
    <w:rPr>
      <w:rFonts w:ascii="MS Reference Sans Serif" w:hAnsi="MS Reference Sans Serif" w:eastAsia="MS Reference Sans Serif" w:cs="MS Reference Sans Serif"/>
      <w:sz w:val="19"/>
      <w:szCs w:val="19"/>
      <w:shd w:fill="FFFFFF" w:val="clear"/>
    </w:rPr>
  </w:style>
  <w:style w:type="character" w:styleId="Exact" w:customStyle="1">
    <w:name w:val="Подпись к картинке Exact"/>
    <w:basedOn w:val="DefaultParagraphFont"/>
    <w:qFormat/>
    <w:rPr>
      <w:rFonts w:ascii="MS Reference Sans Serif" w:hAnsi="MS Reference Sans Serif" w:eastAsia="MS Reference Sans Serif" w:cs="MS Reference Sans Serif"/>
      <w:b w:val="false"/>
      <w:bCs w:val="false"/>
      <w:i w:val="false"/>
      <w:iCs w:val="false"/>
      <w:caps w:val="false"/>
      <w:smallCaps w:val="false"/>
      <w:strike w:val="false"/>
      <w:dstrike w:val="false"/>
      <w:sz w:val="19"/>
      <w:szCs w:val="19"/>
      <w:u w:val="none"/>
    </w:rPr>
  </w:style>
  <w:style w:type="character" w:styleId="2Exact" w:customStyle="1">
    <w:name w:val="Основной текст (2) Exact"/>
    <w:basedOn w:val="DefaultParagraphFont"/>
    <w:qFormat/>
    <w:rPr>
      <w:rFonts w:ascii="MS Reference Sans Serif" w:hAnsi="MS Reference Sans Serif" w:eastAsia="MS Reference Sans Serif" w:cs="MS Reference Sans Serif"/>
      <w:b w:val="false"/>
      <w:bCs w:val="false"/>
      <w:i w:val="false"/>
      <w:iCs w:val="false"/>
      <w:caps w:val="false"/>
      <w:smallCaps w:val="false"/>
      <w:strike w:val="false"/>
      <w:dstrike w:val="false"/>
      <w:sz w:val="19"/>
      <w:szCs w:val="19"/>
      <w:u w:val="none"/>
    </w:rPr>
  </w:style>
  <w:style w:type="character" w:styleId="51" w:customStyle="1">
    <w:name w:val="Основной текст (5)_"/>
    <w:basedOn w:val="DefaultParagraphFont"/>
    <w:link w:val="52"/>
    <w:qFormat/>
    <w:rPr>
      <w:rFonts w:ascii="MS Reference Sans Serif" w:hAnsi="MS Reference Sans Serif" w:eastAsia="MS Reference Sans Serif" w:cs="MS Reference Sans Serif"/>
      <w:b/>
      <w:bCs/>
      <w:sz w:val="19"/>
      <w:szCs w:val="19"/>
      <w:shd w:fill="FFFFFF" w:val="clear"/>
    </w:rPr>
  </w:style>
  <w:style w:type="character" w:styleId="5Exact" w:customStyle="1">
    <w:name w:val="Основной текст (5) Exact"/>
    <w:basedOn w:val="DefaultParagraphFont"/>
    <w:qFormat/>
    <w:rPr>
      <w:rFonts w:ascii="MS Reference Sans Serif" w:hAnsi="MS Reference Sans Serif" w:eastAsia="MS Reference Sans Serif" w:cs="MS Reference Sans Serif"/>
      <w:b/>
      <w:bCs/>
      <w:i w:val="false"/>
      <w:iCs w:val="false"/>
      <w:caps w:val="false"/>
      <w:smallCaps w:val="false"/>
      <w:strike w:val="false"/>
      <w:dstrike w:val="false"/>
      <w:sz w:val="19"/>
      <w:szCs w:val="19"/>
      <w:u w:val="none"/>
    </w:rPr>
  </w:style>
  <w:style w:type="character" w:styleId="210pt37ptExact" w:customStyle="1">
    <w:name w:val="Основной текст (2) + 10 pt;Курсив;Интервал 37 pt Exact"/>
    <w:basedOn w:val="22"/>
    <w:qFormat/>
    <w:rPr>
      <w:rFonts w:ascii="MS Reference Sans Serif" w:hAnsi="MS Reference Sans Serif" w:eastAsia="MS Reference Sans Serif" w:cs="MS Reference Sans Serif"/>
      <w:b w:val="false"/>
      <w:bCs w:val="false"/>
      <w:i/>
      <w:iCs/>
      <w:caps w:val="false"/>
      <w:smallCaps w:val="false"/>
      <w:strike w:val="false"/>
      <w:dstrike w:val="false"/>
      <w:color w:val="000000"/>
      <w:spacing w:val="750"/>
      <w:sz w:val="20"/>
      <w:szCs w:val="20"/>
      <w:u w:val="none"/>
      <w:shd w:fill="FFFFFF" w:val="clear"/>
      <w:lang w:val="en-US" w:eastAsia="en-US" w:bidi="en-US"/>
    </w:rPr>
  </w:style>
  <w:style w:type="character" w:styleId="210pt2" w:customStyle="1">
    <w:name w:val="Основной текст (2) + 10 pt"/>
    <w:basedOn w:val="DefaultParagraphFont"/>
    <w:qFormat/>
    <w:rPr>
      <w:rFonts w:ascii="MS Reference Sans Serif" w:hAnsi="MS Reference Sans Serif" w:eastAsia="MS Reference Sans Serif" w:cs="MS Reference Sans Serif"/>
      <w:b w:val="false"/>
      <w:bCs w:val="false"/>
      <w:i/>
      <w:iCs/>
      <w:caps w:val="false"/>
      <w:smallCaps w:val="false"/>
      <w:strike w:val="false"/>
      <w:dstrike w:val="false"/>
      <w:color w:val="000000"/>
      <w:spacing w:val="0"/>
      <w:sz w:val="20"/>
      <w:szCs w:val="20"/>
      <w:u w:val="none"/>
      <w:lang w:val="ru-RU" w:eastAsia="ru-RU" w:bidi="ru-RU"/>
    </w:rPr>
  </w:style>
  <w:style w:type="character" w:styleId="Style20" w:customStyle="1">
    <w:name w:val="Абзац списка Знак"/>
    <w:basedOn w:val="DefaultParagraphFont"/>
    <w:link w:val="ListParagraph"/>
    <w:uiPriority w:val="34"/>
    <w:qFormat/>
    <w:rPr>
      <w:sz w:val="24"/>
      <w:szCs w:val="24"/>
    </w:rPr>
  </w:style>
  <w:style w:type="character" w:styleId="12" w:customStyle="1">
    <w:name w:val="Стиль1 Знак"/>
    <w:basedOn w:val="Style20"/>
    <w:link w:val="16"/>
    <w:qFormat/>
    <w:rPr>
      <w:sz w:val="24"/>
      <w:szCs w:val="24"/>
    </w:rPr>
  </w:style>
  <w:style w:type="paragraph" w:styleId="Style21">
    <w:name w:val="Заголовок"/>
    <w:basedOn w:val="Normal"/>
    <w:next w:val="BodyText"/>
    <w:qFormat/>
    <w:pPr>
      <w:keepNext w:val="true"/>
      <w:spacing w:before="240" w:after="120"/>
    </w:pPr>
    <w:rPr>
      <w:rFonts w:ascii="Open Sans" w:hAnsi="Open Sans" w:eastAsia="Tahoma" w:cs="Lohit Devanagari"/>
      <w:sz w:val="28"/>
      <w:szCs w:val="28"/>
    </w:rPr>
  </w:style>
  <w:style w:type="paragraph" w:styleId="BodyText">
    <w:name w:val="Body Text"/>
    <w:basedOn w:val="Normal"/>
    <w:pPr>
      <w:spacing w:before="0" w:after="120"/>
    </w:pPr>
    <w:rPr/>
  </w:style>
  <w:style w:type="paragraph" w:styleId="List">
    <w:name w:val="List"/>
    <w:basedOn w:val="BodyText"/>
    <w:pPr/>
    <w:rPr>
      <w:rFonts w:cs="Lohit Devanagari"/>
    </w:rPr>
  </w:style>
  <w:style w:type="paragraph" w:styleId="Caption">
    <w:name w:val="Caption"/>
    <w:basedOn w:val="Normal"/>
    <w:next w:val="Normal"/>
    <w:link w:val="CaptionChar"/>
    <w:qFormat/>
    <w:pPr>
      <w:widowControl w:val="false"/>
      <w:spacing w:lineRule="auto" w:line="240" w:before="120" w:after="120"/>
      <w:ind w:hanging="0"/>
    </w:pPr>
    <w:rPr>
      <w:b/>
      <w:bCs/>
      <w:sz w:val="24"/>
      <w:szCs w:val="24"/>
    </w:rPr>
  </w:style>
  <w:style w:type="paragraph" w:styleId="Style22">
    <w:name w:val="Указатель"/>
    <w:basedOn w:val="Normal"/>
    <w:qFormat/>
    <w:pPr>
      <w:suppressLineNumbers/>
    </w:pPr>
    <w:rPr>
      <w:rFonts w:cs="Lohit Devanagari"/>
    </w:rPr>
  </w:style>
  <w:style w:type="paragraph" w:styleId="NoSpacing">
    <w:name w:val="No Spacing"/>
    <w:uiPriority w:val="1"/>
    <w:qFormat/>
    <w:pPr>
      <w:widowControl/>
      <w:suppressAutoHyphens w:val="true"/>
      <w:bidi w:val="0"/>
      <w:spacing w:before="0" w:after="0"/>
      <w:jc w:val="left"/>
    </w:pPr>
    <w:rPr>
      <w:rFonts w:ascii="Times New Roman" w:hAnsi="Times New Roman" w:eastAsia="Tahoma" w:cs="Lohit Devanagari"/>
      <w:color w:val="auto"/>
      <w:kern w:val="0"/>
      <w:sz w:val="20"/>
      <w:szCs w:val="20"/>
      <w:lang w:val="ru-RU" w:eastAsia="ru-RU" w:bidi="ar-SA"/>
    </w:rPr>
  </w:style>
  <w:style w:type="paragraph" w:styleId="Subtitle">
    <w:name w:val="Subtitle"/>
    <w:basedOn w:val="Normal"/>
    <w:next w:val="Normal"/>
    <w:link w:val="Style5"/>
    <w:uiPriority w:val="11"/>
    <w:qFormat/>
    <w:pPr>
      <w:spacing w:before="200" w:after="200"/>
    </w:pPr>
    <w:rPr>
      <w:sz w:val="24"/>
      <w:szCs w:val="24"/>
    </w:rPr>
  </w:style>
  <w:style w:type="paragraph" w:styleId="Quote">
    <w:name w:val="Quote"/>
    <w:basedOn w:val="Normal"/>
    <w:next w:val="Normal"/>
    <w:link w:val="2"/>
    <w:uiPriority w:val="29"/>
    <w:qFormat/>
    <w:pPr>
      <w:ind w:left="720" w:right="720"/>
    </w:pPr>
    <w:rPr>
      <w:i/>
    </w:rPr>
  </w:style>
  <w:style w:type="paragraph" w:styleId="IntenseQuote">
    <w:name w:val="Intense Quote"/>
    <w:basedOn w:val="Normal"/>
    <w:next w:val="Normal"/>
    <w:link w:val="Style6"/>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paragraph" w:styleId="TOC1">
    <w:name w:val="TOC 1"/>
    <w:basedOn w:val="Normal"/>
    <w:next w:val="Normal"/>
    <w:uiPriority w:val="39"/>
    <w:unhideWhenUsed/>
    <w:pPr>
      <w:spacing w:before="0" w:after="57"/>
      <w:ind w:hanging="0"/>
    </w:pPr>
    <w:rPr/>
  </w:style>
  <w:style w:type="paragraph" w:styleId="TOC2">
    <w:name w:val="TOC 2"/>
    <w:basedOn w:val="Normal"/>
    <w:next w:val="Normal"/>
    <w:uiPriority w:val="39"/>
    <w:unhideWhenUsed/>
    <w:pPr>
      <w:spacing w:before="0" w:after="57"/>
      <w:ind w:hanging="0" w:left="283"/>
    </w:pPr>
    <w:rPr/>
  </w:style>
  <w:style w:type="paragraph" w:styleId="TOC3">
    <w:name w:val="TOC 3"/>
    <w:basedOn w:val="Normal"/>
    <w:next w:val="Normal"/>
    <w:uiPriority w:val="39"/>
    <w:unhideWhenUsed/>
    <w:pPr>
      <w:spacing w:before="0" w:after="57"/>
      <w:ind w:hanging="0" w:left="567"/>
    </w:pPr>
    <w:rPr/>
  </w:style>
  <w:style w:type="paragraph" w:styleId="TOC4">
    <w:name w:val="TOC 4"/>
    <w:basedOn w:val="Normal"/>
    <w:next w:val="Normal"/>
    <w:uiPriority w:val="39"/>
    <w:unhideWhenUsed/>
    <w:pPr>
      <w:spacing w:before="0" w:after="57"/>
      <w:ind w:hanging="0" w:left="850"/>
    </w:pPr>
    <w:rPr/>
  </w:style>
  <w:style w:type="paragraph" w:styleId="TOC5">
    <w:name w:val="TOC 5"/>
    <w:basedOn w:val="Normal"/>
    <w:next w:val="Normal"/>
    <w:uiPriority w:val="39"/>
    <w:unhideWhenUsed/>
    <w:pPr>
      <w:spacing w:before="0" w:after="57"/>
      <w:ind w:hanging="0" w:left="1134"/>
    </w:pPr>
    <w:rPr/>
  </w:style>
  <w:style w:type="paragraph" w:styleId="TOC6">
    <w:name w:val="TOC 6"/>
    <w:basedOn w:val="Normal"/>
    <w:next w:val="Normal"/>
    <w:uiPriority w:val="39"/>
    <w:unhideWhenUsed/>
    <w:pPr>
      <w:spacing w:before="0" w:after="57"/>
      <w:ind w:hanging="0" w:left="1417"/>
    </w:pPr>
    <w:rPr/>
  </w:style>
  <w:style w:type="paragraph" w:styleId="TOC7">
    <w:name w:val="TOC 7"/>
    <w:basedOn w:val="Normal"/>
    <w:next w:val="Normal"/>
    <w:uiPriority w:val="39"/>
    <w:unhideWhenUsed/>
    <w:pPr>
      <w:spacing w:before="0" w:after="57"/>
      <w:ind w:hanging="0" w:left="1701"/>
    </w:pPr>
    <w:rPr/>
  </w:style>
  <w:style w:type="paragraph" w:styleId="TOC8">
    <w:name w:val="TOC 8"/>
    <w:basedOn w:val="Normal"/>
    <w:next w:val="Normal"/>
    <w:uiPriority w:val="39"/>
    <w:unhideWhenUsed/>
    <w:pPr>
      <w:spacing w:before="0" w:after="57"/>
      <w:ind w:hanging="0" w:left="1984"/>
    </w:pPr>
    <w:rPr/>
  </w:style>
  <w:style w:type="paragraph" w:styleId="TOC9">
    <w:name w:val="TOC 9"/>
    <w:basedOn w:val="Normal"/>
    <w:next w:val="Normal"/>
    <w:uiPriority w:val="39"/>
    <w:unhideWhenUsed/>
    <w:pPr>
      <w:spacing w:before="0" w:after="57"/>
      <w:ind w:hanging="0" w:left="2268"/>
    </w:pPr>
    <w:rPr/>
  </w:style>
  <w:style w:type="paragraph" w:styleId="IndexHeading">
    <w:name w:val="Index Heading"/>
    <w:basedOn w:val="Style21"/>
    <w:pPr/>
    <w:rPr/>
  </w:style>
  <w:style w:type="paragraph" w:styleId="TOCHeading">
    <w:name w:val="TOC Heading"/>
    <w:uiPriority w:val="39"/>
    <w:unhideWhenUsed/>
    <w:qFormat/>
    <w:pPr>
      <w:widowControl/>
      <w:suppressAutoHyphens w:val="true"/>
      <w:bidi w:val="0"/>
      <w:spacing w:before="0" w:after="0"/>
      <w:jc w:val="left"/>
    </w:pPr>
    <w:rPr>
      <w:rFonts w:ascii="Times New Roman" w:hAnsi="Times New Roman" w:eastAsia="Tahoma" w:cs="Lohit Devanagari"/>
      <w:color w:val="auto"/>
      <w:kern w:val="0"/>
      <w:sz w:val="20"/>
      <w:szCs w:val="20"/>
      <w:lang w:val="ru-RU" w:eastAsia="ru-RU" w:bidi="ar-SA"/>
    </w:rPr>
  </w:style>
  <w:style w:type="paragraph" w:styleId="TableofFigures">
    <w:name w:val="Table of Figures"/>
    <w:basedOn w:val="Normal"/>
    <w:next w:val="Normal"/>
    <w:uiPriority w:val="99"/>
    <w:unhideWhenUsed/>
    <w:pPr/>
    <w:rPr/>
  </w:style>
  <w:style w:type="paragraph" w:styleId="BodyText3">
    <w:name w:val="Body Text 3"/>
    <w:basedOn w:val="Normal"/>
    <w:link w:val="32"/>
    <w:qFormat/>
    <w:pPr>
      <w:spacing w:lineRule="auto" w:line="240"/>
      <w:ind w:hanging="0"/>
    </w:pPr>
    <w:rPr>
      <w:color w:val="0000FF"/>
      <w:sz w:val="24"/>
      <w:szCs w:val="24"/>
      <w:lang w:eastAsia="en-US"/>
    </w:rPr>
  </w:style>
  <w:style w:type="paragraph" w:styleId="Style23">
    <w:name w:val="Колонтитул"/>
    <w:basedOn w:val="Normal"/>
    <w:qFormat/>
    <w:pPr/>
    <w:rPr/>
  </w:style>
  <w:style w:type="paragraph" w:styleId="Header">
    <w:name w:val="Header"/>
    <w:basedOn w:val="Normal"/>
    <w:link w:val="Style7"/>
    <w:pPr>
      <w:tabs>
        <w:tab w:val="clear" w:pos="708"/>
        <w:tab w:val="center" w:pos="4677" w:leader="none"/>
        <w:tab w:val="right" w:pos="9355" w:leader="none"/>
      </w:tabs>
    </w:pPr>
    <w:rPr/>
  </w:style>
  <w:style w:type="paragraph" w:styleId="Style110" w:customStyle="1">
    <w:name w:val="Style1"/>
    <w:basedOn w:val="Normal"/>
    <w:qFormat/>
    <w:pPr>
      <w:spacing w:lineRule="auto" w:line="240" w:before="240" w:after="0"/>
      <w:ind w:hanging="0"/>
      <w:jc w:val="left"/>
    </w:pPr>
    <w:rPr>
      <w:b/>
      <w:sz w:val="22"/>
      <w:szCs w:val="20"/>
    </w:rPr>
  </w:style>
  <w:style w:type="paragraph" w:styleId="BodyText2">
    <w:name w:val="Body Text 2"/>
    <w:basedOn w:val="Normal"/>
    <w:qFormat/>
    <w:pPr>
      <w:widowControl w:val="false"/>
      <w:spacing w:lineRule="auto" w:line="480" w:before="0" w:after="120"/>
      <w:ind w:hanging="0"/>
      <w:jc w:val="left"/>
    </w:pPr>
    <w:rPr>
      <w:sz w:val="20"/>
      <w:szCs w:val="20"/>
    </w:rPr>
  </w:style>
  <w:style w:type="paragraph" w:styleId="Style24" w:customStyle="1">
    <w:name w:val="Знак"/>
    <w:basedOn w:val="Normal"/>
    <w:qFormat/>
    <w:pPr>
      <w:spacing w:lineRule="exact" w:line="240" w:before="0" w:after="160"/>
      <w:ind w:hanging="0"/>
      <w:jc w:val="left"/>
    </w:pPr>
    <w:rPr>
      <w:rFonts w:ascii="Verdana" w:hAnsi="Verdana" w:cs="Verdana"/>
      <w:sz w:val="20"/>
      <w:szCs w:val="20"/>
      <w:lang w:val="en-US" w:eastAsia="en-US"/>
    </w:rPr>
  </w:style>
  <w:style w:type="paragraph" w:styleId="FootnoteText">
    <w:name w:val="Footnote Text"/>
    <w:basedOn w:val="Normal"/>
    <w:link w:val="Style15"/>
    <w:uiPriority w:val="99"/>
    <w:pPr>
      <w:spacing w:lineRule="auto" w:line="240"/>
      <w:ind w:hanging="0"/>
      <w:jc w:val="left"/>
    </w:pPr>
    <w:rPr>
      <w:sz w:val="20"/>
      <w:szCs w:val="20"/>
    </w:rPr>
  </w:style>
  <w:style w:type="paragraph" w:styleId="Style25" w:customStyle="1">
    <w:name w:val="Знак Знак Знак Знак Знак Знак Знак"/>
    <w:basedOn w:val="Normal"/>
    <w:qFormat/>
    <w:pPr>
      <w:spacing w:lineRule="exact" w:line="240" w:before="0" w:after="160"/>
      <w:ind w:hanging="0"/>
      <w:jc w:val="left"/>
    </w:pPr>
    <w:rPr>
      <w:rFonts w:ascii="Verdana" w:hAnsi="Verdana" w:cs="Verdana"/>
      <w:sz w:val="20"/>
      <w:szCs w:val="20"/>
      <w:lang w:val="en-US" w:eastAsia="en-US"/>
    </w:rPr>
  </w:style>
  <w:style w:type="paragraph" w:styleId="23" w:customStyle="1">
    <w:name w:val="Знак2"/>
    <w:basedOn w:val="Normal"/>
    <w:qFormat/>
    <w:pPr>
      <w:spacing w:lineRule="exact" w:line="240" w:before="0" w:after="160"/>
      <w:ind w:hanging="0"/>
      <w:jc w:val="left"/>
    </w:pPr>
    <w:rPr>
      <w:rFonts w:ascii="Verdana" w:hAnsi="Verdana" w:cs="Verdana"/>
      <w:sz w:val="20"/>
      <w:szCs w:val="20"/>
      <w:lang w:val="en-US" w:eastAsia="en-US"/>
    </w:rPr>
  </w:style>
  <w:style w:type="paragraph" w:styleId="Style26" w:customStyle="1">
    <w:name w:val="Знак Знак Знак Знак Знак Знак Знак Знак Знак"/>
    <w:basedOn w:val="Normal"/>
    <w:qFormat/>
    <w:pPr>
      <w:spacing w:lineRule="exact" w:line="240" w:before="0" w:after="160"/>
      <w:ind w:hanging="0"/>
    </w:pPr>
    <w:rPr>
      <w:rFonts w:ascii="Verdana" w:hAnsi="Verdana"/>
      <w:sz w:val="22"/>
      <w:szCs w:val="20"/>
      <w:lang w:val="en-US" w:eastAsia="en-US"/>
    </w:rPr>
  </w:style>
  <w:style w:type="paragraph" w:styleId="Style27" w:customStyle="1">
    <w:name w:val="Пункт договора"/>
    <w:basedOn w:val="Normal"/>
    <w:qFormat/>
    <w:pPr>
      <w:widowControl w:val="false"/>
      <w:spacing w:lineRule="auto" w:line="240"/>
      <w:ind w:hanging="0"/>
    </w:pPr>
    <w:rPr>
      <w:rFonts w:ascii="Arial" w:hAnsi="Arial"/>
      <w:sz w:val="20"/>
      <w:szCs w:val="20"/>
    </w:rPr>
  </w:style>
  <w:style w:type="paragraph" w:styleId="Style28" w:customStyle="1">
    <w:name w:val="Подпункт договора"/>
    <w:basedOn w:val="Normal"/>
    <w:qFormat/>
    <w:pPr>
      <w:tabs>
        <w:tab w:val="clear" w:pos="708"/>
        <w:tab w:val="left" w:pos="360" w:leader="none"/>
      </w:tabs>
      <w:spacing w:lineRule="auto" w:line="240"/>
      <w:ind w:hanging="0"/>
    </w:pPr>
    <w:rPr>
      <w:rFonts w:ascii="Arial" w:hAnsi="Arial"/>
      <w:sz w:val="20"/>
      <w:szCs w:val="20"/>
    </w:rPr>
  </w:style>
  <w:style w:type="paragraph" w:styleId="BodyTextIndent3">
    <w:name w:val="Body Text Indent 3"/>
    <w:basedOn w:val="Normal"/>
    <w:qFormat/>
    <w:pPr>
      <w:spacing w:before="0" w:after="120"/>
      <w:ind w:left="283"/>
    </w:pPr>
    <w:rPr>
      <w:sz w:val="16"/>
      <w:szCs w:val="16"/>
    </w:rPr>
  </w:style>
  <w:style w:type="paragraph" w:styleId="ListParagraph">
    <w:name w:val="List Paragraph"/>
    <w:basedOn w:val="Normal"/>
    <w:link w:val="Style20"/>
    <w:uiPriority w:val="34"/>
    <w:qFormat/>
    <w:pPr>
      <w:spacing w:lineRule="auto" w:line="240" w:before="0" w:after="0"/>
      <w:ind w:hanging="0" w:left="720"/>
      <w:contextualSpacing/>
      <w:jc w:val="left"/>
    </w:pPr>
    <w:rPr>
      <w:sz w:val="24"/>
      <w:szCs w:val="24"/>
    </w:rPr>
  </w:style>
  <w:style w:type="paragraph" w:styleId="13" w:customStyle="1">
    <w:name w:val="1. Статья"/>
    <w:basedOn w:val="Heading3"/>
    <w:link w:val="1"/>
    <w:qFormat/>
    <w:pPr>
      <w:keepNext w:val="false"/>
      <w:widowControl w:val="false"/>
      <w:numPr>
        <w:ilvl w:val="0"/>
        <w:numId w:val="1"/>
      </w:numPr>
      <w:tabs>
        <w:tab w:val="clear" w:pos="708"/>
        <w:tab w:val="left" w:pos="2340" w:leader="none"/>
      </w:tabs>
      <w:spacing w:before="0" w:after="0"/>
      <w:ind w:right="1462"/>
      <w:jc w:val="center"/>
    </w:pPr>
    <w:rPr>
      <w:b w:val="false"/>
      <w:sz w:val="24"/>
      <w:szCs w:val="24"/>
    </w:rPr>
  </w:style>
  <w:style w:type="paragraph" w:styleId="24" w:customStyle="1">
    <w:name w:val="2. Пункт"/>
    <w:basedOn w:val="Heading3"/>
    <w:qFormat/>
    <w:pPr>
      <w:keepNext w:val="false"/>
      <w:widowControl w:val="false"/>
      <w:numPr>
        <w:ilvl w:val="1"/>
        <w:numId w:val="1"/>
      </w:numPr>
      <w:spacing w:before="0" w:after="0"/>
      <w:jc w:val="both"/>
    </w:pPr>
    <w:rPr>
      <w:b w:val="false"/>
      <w:sz w:val="24"/>
      <w:szCs w:val="24"/>
    </w:rPr>
  </w:style>
  <w:style w:type="paragraph" w:styleId="33" w:customStyle="1">
    <w:name w:val="3. Подпункт"/>
    <w:basedOn w:val="Heading3"/>
    <w:link w:val="31"/>
    <w:qFormat/>
    <w:pPr>
      <w:keepNext w:val="false"/>
      <w:widowControl w:val="false"/>
      <w:numPr>
        <w:ilvl w:val="2"/>
        <w:numId w:val="1"/>
      </w:numPr>
      <w:tabs>
        <w:tab w:val="clear" w:pos="708"/>
        <w:tab w:val="left" w:pos="1620" w:leader="none"/>
      </w:tabs>
      <w:spacing w:before="0" w:after="0"/>
      <w:jc w:val="both"/>
    </w:pPr>
    <w:rPr>
      <w:bCs/>
      <w:sz w:val="24"/>
      <w:szCs w:val="24"/>
    </w:rPr>
  </w:style>
  <w:style w:type="paragraph" w:styleId="ConsNormal" w:customStyle="1">
    <w:name w:val="ConsNormal"/>
    <w:qFormat/>
    <w:pPr>
      <w:widowControl/>
      <w:suppressAutoHyphens w:val="true"/>
      <w:bidi w:val="0"/>
      <w:spacing w:before="0" w:after="0"/>
      <w:ind w:firstLine="720" w:right="19772"/>
      <w:jc w:val="left"/>
    </w:pPr>
    <w:rPr>
      <w:rFonts w:ascii="Arial" w:hAnsi="Arial" w:eastAsia="Tahoma" w:cs="Lohit Devanagari"/>
      <w:color w:val="auto"/>
      <w:kern w:val="0"/>
      <w:sz w:val="32"/>
      <w:szCs w:val="20"/>
      <w:lang w:val="ru-RU" w:eastAsia="en-US" w:bidi="ar-SA"/>
    </w:rPr>
  </w:style>
  <w:style w:type="paragraph" w:styleId="BalloonText">
    <w:name w:val="Balloon Text"/>
    <w:basedOn w:val="Normal"/>
    <w:link w:val="Style9"/>
    <w:qFormat/>
    <w:pPr>
      <w:spacing w:lineRule="auto" w:line="240"/>
    </w:pPr>
    <w:rPr>
      <w:rFonts w:ascii="Tahoma" w:hAnsi="Tahoma"/>
      <w:sz w:val="16"/>
      <w:szCs w:val="16"/>
    </w:rPr>
  </w:style>
  <w:style w:type="paragraph" w:styleId="42" w:customStyle="1">
    <w:name w:val="4. Отчерк"/>
    <w:basedOn w:val="Normal"/>
    <w:link w:val="41"/>
    <w:qFormat/>
    <w:pPr>
      <w:widowControl w:val="false"/>
      <w:numPr>
        <w:ilvl w:val="0"/>
        <w:numId w:val="2"/>
      </w:numPr>
      <w:spacing w:lineRule="auto" w:line="240"/>
    </w:pPr>
    <w:rPr>
      <w:sz w:val="24"/>
      <w:szCs w:val="24"/>
    </w:rPr>
  </w:style>
  <w:style w:type="paragraph" w:styleId="Annotationtext">
    <w:name w:val="annotation text"/>
    <w:basedOn w:val="Normal"/>
    <w:link w:val="Style10"/>
    <w:qFormat/>
    <w:pPr>
      <w:spacing w:lineRule="auto" w:line="240"/>
    </w:pPr>
    <w:rPr>
      <w:sz w:val="20"/>
      <w:szCs w:val="20"/>
    </w:rPr>
  </w:style>
  <w:style w:type="paragraph" w:styleId="Annotationsubject">
    <w:name w:val="annotation subject"/>
    <w:basedOn w:val="Annotationtext"/>
    <w:next w:val="Annotationtext"/>
    <w:link w:val="Style11"/>
    <w:qFormat/>
    <w:pPr/>
    <w:rPr>
      <w:b/>
      <w:bCs/>
    </w:rPr>
  </w:style>
  <w:style w:type="paragraph" w:styleId="Footer">
    <w:name w:val="Footer"/>
    <w:basedOn w:val="Normal"/>
    <w:link w:val="Style12"/>
    <w:uiPriority w:val="99"/>
    <w:pPr>
      <w:tabs>
        <w:tab w:val="clear" w:pos="708"/>
        <w:tab w:val="center" w:pos="4677" w:leader="none"/>
        <w:tab w:val="right" w:pos="9355" w:leader="none"/>
      </w:tabs>
      <w:spacing w:lineRule="auto" w:line="240"/>
    </w:pPr>
    <w:rPr/>
  </w:style>
  <w:style w:type="paragraph" w:styleId="Revision">
    <w:name w:val="Revision"/>
    <w:uiPriority w:val="99"/>
    <w:semiHidden/>
    <w:qFormat/>
    <w:pPr>
      <w:widowControl/>
      <w:suppressAutoHyphens w:val="true"/>
      <w:bidi w:val="0"/>
      <w:spacing w:before="0" w:after="0"/>
      <w:jc w:val="left"/>
    </w:pPr>
    <w:rPr>
      <w:rFonts w:ascii="Times New Roman" w:hAnsi="Times New Roman" w:eastAsia="Tahoma" w:cs="Lohit Devanagari"/>
      <w:color w:val="auto"/>
      <w:kern w:val="0"/>
      <w:sz w:val="28"/>
      <w:szCs w:val="28"/>
      <w:lang w:val="ru-RU" w:eastAsia="ru-RU" w:bidi="ar-SA"/>
    </w:rPr>
  </w:style>
  <w:style w:type="paragraph" w:styleId="Title" w:customStyle="1">
    <w:name w:val="Title"/>
    <w:basedOn w:val="Normal"/>
    <w:link w:val="Style13"/>
    <w:qFormat/>
    <w:pPr>
      <w:widowControl w:val="false"/>
      <w:spacing w:lineRule="auto" w:line="240" w:before="0" w:after="120"/>
      <w:ind w:hanging="0"/>
      <w:jc w:val="center"/>
    </w:pPr>
    <w:rPr>
      <w:b/>
      <w:bCs/>
      <w:sz w:val="32"/>
      <w:szCs w:val="20"/>
    </w:rPr>
  </w:style>
  <w:style w:type="paragraph" w:styleId="BodyTextIndent">
    <w:name w:val="Body Text Indent"/>
    <w:basedOn w:val="Normal"/>
    <w:link w:val="Style14"/>
    <w:pPr>
      <w:spacing w:before="0" w:after="120"/>
      <w:ind w:left="283"/>
    </w:pPr>
    <w:rPr/>
  </w:style>
  <w:style w:type="paragraph" w:styleId="333" w:customStyle="1">
    <w:name w:val="Пункт 3.3.3"/>
    <w:basedOn w:val="Normal"/>
    <w:qFormat/>
    <w:pPr>
      <w:keepNext w:val="true"/>
      <w:keepLines/>
      <w:widowControl w:val="false"/>
      <w:tabs>
        <w:tab w:val="clear" w:pos="708"/>
        <w:tab w:val="left" w:pos="920" w:leader="none"/>
      </w:tabs>
      <w:spacing w:lineRule="auto" w:line="240" w:before="240" w:after="240"/>
      <w:ind w:hanging="504" w:left="704"/>
      <w:jc w:val="left"/>
      <w:outlineLvl w:val="1"/>
    </w:pPr>
    <w:rPr>
      <w:sz w:val="24"/>
      <w:szCs w:val="20"/>
    </w:rPr>
  </w:style>
  <w:style w:type="paragraph" w:styleId="14" w:customStyle="1">
    <w:name w:val="Знак1"/>
    <w:basedOn w:val="Normal"/>
    <w:qFormat/>
    <w:pPr>
      <w:spacing w:lineRule="exact" w:line="240" w:before="0" w:after="160"/>
      <w:ind w:hanging="0"/>
      <w:jc w:val="left"/>
    </w:pPr>
    <w:rPr>
      <w:rFonts w:ascii="Verdana" w:hAnsi="Verdana" w:cs="Verdana"/>
      <w:sz w:val="20"/>
      <w:szCs w:val="20"/>
      <w:lang w:val="en-US" w:eastAsia="en-US"/>
    </w:rPr>
  </w:style>
  <w:style w:type="paragraph" w:styleId="-" w:customStyle="1">
    <w:name w:val="Контракт-раздел"/>
    <w:basedOn w:val="Normal"/>
    <w:qFormat/>
    <w:pPr>
      <w:keepNext w:val="true"/>
      <w:keepLines/>
      <w:numPr>
        <w:ilvl w:val="0"/>
        <w:numId w:val="4"/>
      </w:numPr>
      <w:tabs>
        <w:tab w:val="clear" w:pos="708"/>
        <w:tab w:val="left" w:pos="0" w:leader="none"/>
        <w:tab w:val="left" w:pos="567" w:leader="none"/>
      </w:tabs>
      <w:spacing w:lineRule="auto" w:line="240" w:before="360" w:after="120"/>
      <w:jc w:val="center"/>
      <w:outlineLvl w:val="1"/>
    </w:pPr>
    <w:rPr>
      <w:b/>
      <w:bCs/>
      <w:caps/>
    </w:rPr>
  </w:style>
  <w:style w:type="paragraph" w:styleId="-1" w:customStyle="1">
    <w:name w:val="Контракт-пункт"/>
    <w:basedOn w:val="Normal"/>
    <w:qFormat/>
    <w:pPr>
      <w:numPr>
        <w:ilvl w:val="1"/>
        <w:numId w:val="4"/>
      </w:numPr>
    </w:pPr>
    <w:rPr/>
  </w:style>
  <w:style w:type="paragraph" w:styleId="-2" w:customStyle="1">
    <w:name w:val="Контракт-подпункт"/>
    <w:basedOn w:val="Normal"/>
    <w:qFormat/>
    <w:pPr>
      <w:numPr>
        <w:ilvl w:val="2"/>
        <w:numId w:val="4"/>
      </w:numPr>
    </w:pPr>
    <w:rPr/>
  </w:style>
  <w:style w:type="paragraph" w:styleId="-3" w:customStyle="1">
    <w:name w:val="Контракт-подподпункт"/>
    <w:basedOn w:val="Normal"/>
    <w:qFormat/>
    <w:pPr>
      <w:numPr>
        <w:ilvl w:val="3"/>
        <w:numId w:val="4"/>
      </w:numPr>
    </w:pPr>
    <w:rPr/>
  </w:style>
  <w:style w:type="paragraph" w:styleId="EndnoteText">
    <w:name w:val="Endnote Text"/>
    <w:basedOn w:val="Normal"/>
    <w:link w:val="Style16"/>
    <w:uiPriority w:val="99"/>
    <w:semiHidden/>
    <w:unhideWhenUsed/>
    <w:pPr/>
    <w:rPr>
      <w:sz w:val="20"/>
      <w:szCs w:val="20"/>
    </w:rPr>
  </w:style>
  <w:style w:type="paragraph" w:styleId="25" w:customStyle="1">
    <w:name w:val="Основной текст (2)"/>
    <w:basedOn w:val="Normal"/>
    <w:link w:val="22"/>
    <w:qFormat/>
    <w:pPr>
      <w:widowControl w:val="false"/>
      <w:shd w:val="clear" w:color="auto" w:fill="FFFFFF"/>
      <w:spacing w:lineRule="exact" w:line="230"/>
      <w:ind w:hanging="880"/>
      <w:jc w:val="left"/>
    </w:pPr>
    <w:rPr>
      <w:rFonts w:ascii="MS Reference Sans Serif" w:hAnsi="MS Reference Sans Serif" w:eastAsia="MS Reference Sans Serif" w:cs="MS Reference Sans Serif"/>
      <w:sz w:val="19"/>
      <w:szCs w:val="19"/>
    </w:rPr>
  </w:style>
  <w:style w:type="paragraph" w:styleId="211" w:customStyle="1">
    <w:name w:val="Основной текст (2)1"/>
    <w:basedOn w:val="Normal"/>
    <w:qFormat/>
    <w:pPr>
      <w:widowControl w:val="false"/>
      <w:shd w:val="clear" w:color="auto" w:fill="FFFFFF"/>
      <w:spacing w:lineRule="exact" w:line="230"/>
      <w:ind w:hanging="880"/>
      <w:jc w:val="left"/>
    </w:pPr>
    <w:rPr>
      <w:rFonts w:ascii="MS Reference Sans Serif" w:hAnsi="MS Reference Sans Serif" w:eastAsia="MS Reference Sans Serif" w:cs="MS Reference Sans Serif"/>
      <w:color w:val="000000"/>
      <w:sz w:val="19"/>
      <w:szCs w:val="19"/>
      <w:lang w:bidi="ru-RU"/>
    </w:rPr>
  </w:style>
  <w:style w:type="paragraph" w:styleId="15" w:customStyle="1">
    <w:name w:val="Колонтитул1"/>
    <w:basedOn w:val="Normal"/>
    <w:link w:val="Style18"/>
    <w:qFormat/>
    <w:pPr>
      <w:widowControl w:val="false"/>
      <w:shd w:val="clear" w:color="auto" w:fill="FFFFFF"/>
      <w:spacing w:lineRule="exact" w:line="280"/>
      <w:ind w:hanging="0"/>
      <w:jc w:val="left"/>
    </w:pPr>
    <w:rPr>
      <w:rFonts w:ascii="Segoe UI" w:hAnsi="Segoe UI" w:eastAsia="Segoe UI" w:cs="Segoe UI"/>
      <w:sz w:val="21"/>
      <w:szCs w:val="21"/>
    </w:rPr>
  </w:style>
  <w:style w:type="paragraph" w:styleId="Style29" w:customStyle="1">
    <w:name w:val="Подпись к картинке"/>
    <w:basedOn w:val="Normal"/>
    <w:link w:val="Style19"/>
    <w:qFormat/>
    <w:pPr>
      <w:widowControl w:val="false"/>
      <w:shd w:val="clear" w:color="auto" w:fill="FFFFFF"/>
      <w:spacing w:lineRule="exact" w:line="238"/>
      <w:ind w:hanging="360"/>
      <w:jc w:val="left"/>
    </w:pPr>
    <w:rPr>
      <w:rFonts w:ascii="MS Reference Sans Serif" w:hAnsi="MS Reference Sans Serif" w:eastAsia="MS Reference Sans Serif" w:cs="MS Reference Sans Serif"/>
      <w:sz w:val="19"/>
      <w:szCs w:val="19"/>
    </w:rPr>
  </w:style>
  <w:style w:type="paragraph" w:styleId="52" w:customStyle="1">
    <w:name w:val="Основной текст (5)"/>
    <w:basedOn w:val="Normal"/>
    <w:link w:val="51"/>
    <w:qFormat/>
    <w:pPr>
      <w:widowControl w:val="false"/>
      <w:shd w:val="clear" w:color="auto" w:fill="FFFFFF"/>
      <w:spacing w:lineRule="exact" w:line="241" w:before="6360" w:after="0"/>
      <w:ind w:hanging="880"/>
      <w:jc w:val="center"/>
    </w:pPr>
    <w:rPr>
      <w:rFonts w:ascii="MS Reference Sans Serif" w:hAnsi="MS Reference Sans Serif" w:eastAsia="MS Reference Sans Serif" w:cs="MS Reference Sans Serif"/>
      <w:b/>
      <w:bCs/>
      <w:sz w:val="19"/>
      <w:szCs w:val="19"/>
    </w:rPr>
  </w:style>
  <w:style w:type="paragraph" w:styleId="16" w:customStyle="1">
    <w:name w:val="Стиль1"/>
    <w:basedOn w:val="ListParagraph"/>
    <w:link w:val="12"/>
    <w:qFormat/>
    <w:pPr>
      <w:numPr>
        <w:ilvl w:val="2"/>
        <w:numId w:val="3"/>
      </w:numPr>
      <w:tabs>
        <w:tab w:val="clear" w:pos="708"/>
        <w:tab w:val="left" w:pos="1418" w:leader="none"/>
      </w:tabs>
      <w:jc w:val="both"/>
    </w:pPr>
    <w:rPr/>
  </w:style>
  <w:style w:type="numbering" w:styleId="NoList" w:default="1">
    <w:name w:val="No List"/>
    <w:uiPriority w:val="99"/>
    <w:semiHidden/>
    <w:unhideWhenUsed/>
    <w:qFormat/>
  </w:style>
  <w:style w:type="table" w:default="1" w:styleId="950">
    <w:name w:val="Normal Table"/>
    <w:uiPriority w:val="99"/>
    <w:semiHidden/>
    <w:unhideWhenUsed/>
    <w:tblPr>
      <w:tblCellMar>
        <w:left w:w="108" w:type="dxa"/>
        <w:top w:w="0" w:type="dxa"/>
        <w:right w:w="108" w:type="dxa"/>
        <w:bottom w:w="0" w:type="dxa"/>
      </w:tblCellMar>
    </w:tblPr>
  </w:style>
  <w:style w:type="table" w:customStyle="1" w:styleId="951">
    <w:name w:val="Table Grid Light"/>
    <w:basedOn w:val="950"/>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CellMar>
        <w:left w:w="108" w:type="dxa"/>
        <w:top w:w="0" w:type="dxa"/>
        <w:right w:w="108" w:type="dxa"/>
        <w:bottom w:w="0" w:type="dxa"/>
      </w:tblCellMar>
    </w:tblPr>
  </w:style>
  <w:style w:type="table" w:customStyle="1" w:styleId="952">
    <w:name w:val="Plain Table 1"/>
    <w:basedOn w:val="950"/>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CellMar>
        <w:left w:w="108" w:type="dxa"/>
        <w:top w:w="0" w:type="dxa"/>
        <w:right w:w="108" w:type="dxa"/>
        <w:bottom w:w="0" w:type="dxa"/>
      </w:tblCellMar>
    </w:tblPr>
    <w:tblStylePr w:type="band1Horz">
      <w:tblPr/>
      <w:tcPr>
        <w:shd w:val="clear" w:color="F2F2F2" w:fill="F2F2F2" w:themeFill="text1" w:themeFillTint="0"/>
      </w:tcPr>
    </w:tblStylePr>
    <w:tblStylePr w:type="band1Vert">
      <w:tblPr/>
      <w:tcPr>
        <w:shd w:val="clear" w:color="F2F2F2" w:fill="F2F2F2" w:themeFill="text1" w:themeFillTint="0"/>
      </w:tcPr>
    </w:tblStylePr>
    <w:tblStylePr w:type="firstCol">
      <w:rPr>
        <w:b/>
        <w:sz w:val="22"/>
      </w:rPr>
      <w:tblPr/>
    </w:tblStylePr>
    <w:tblStylePr w:type="firstRow">
      <w:rPr>
        <w:b/>
        <w:sz w:val="22"/>
      </w:rPr>
      <w:tblPr/>
    </w:tblStylePr>
    <w:tblStylePr w:type="lastCol">
      <w:rPr>
        <w:b/>
        <w:sz w:val="22"/>
      </w:rPr>
      <w:tblPr/>
    </w:tblStylePr>
    <w:tblStylePr w:type="lastRow">
      <w:rPr>
        <w:b/>
        <w:sz w:val="22"/>
      </w:rPr>
      <w:tblPr/>
    </w:tblStylePr>
  </w:style>
  <w:style w:type="table" w:customStyle="1" w:styleId="953">
    <w:name w:val="Plain Table 2"/>
    <w:basedOn w:val="950"/>
    <w:uiPriority w:val="59"/>
    <w:tblPr>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blPr/>
      <w:tcPr>
        <w:tcBorders>
          <w:top w:val="single" w:color="000000" w:themeColor="text1" w:sz="4" w:space="0"/>
          <w:bottom w:val="single" w:color="000000" w:themeColor="text1" w:sz="4" w:space="0"/>
        </w:tcBorders>
      </w:tcPr>
    </w:tblStylePr>
    <w:tblStylePr w:type="band1Vert">
      <w:tblPr/>
      <w:tcPr>
        <w:tcBorders>
          <w:left w:val="single" w:color="000000" w:themeColor="text1" w:sz="4" w:space="0"/>
          <w:right w:val="single" w:color="000000" w:themeColor="text1" w:sz="4" w:space="0"/>
        </w:tcBorders>
      </w:tcPr>
    </w:tblStylePr>
    <w:tblStylePr w:type="band2Vert">
      <w:tblPr/>
      <w:tcPr>
        <w:tcBorders>
          <w:left w:val="single" w:color="000000" w:themeColor="text1" w:sz="4" w:space="0"/>
          <w:right w:val="single" w:color="000000" w:themeColor="text1" w:sz="4" w:space="0"/>
        </w:tcBorders>
      </w:tcPr>
    </w:tblStylePr>
    <w:tblStylePr w:type="firstCol">
      <w:rPr>
        <w:b/>
        <w:sz w:val="22"/>
      </w:rPr>
      <w:tblPr/>
    </w:tblStylePr>
    <w:tblStylePr w:type="firstRow">
      <w:rPr>
        <w:b/>
        <w:sz w:val="22"/>
      </w:rPr>
      <w:tblPr/>
      <w:tcPr>
        <w:tcBorders>
          <w:top w:val="single" w:color="000000" w:themeColor="text1" w:sz="4" w:space="0"/>
          <w:bottom w:val="single" w:color="000000" w:themeColor="text1" w:sz="4" w:space="0"/>
        </w:tcBorders>
      </w:tcPr>
    </w:tblStylePr>
    <w:tblStylePr w:type="lastCol">
      <w:rPr>
        <w:b/>
        <w:sz w:val="22"/>
      </w:rPr>
      <w:tblPr/>
    </w:tblStylePr>
    <w:tblStylePr w:type="lastRow">
      <w:rPr>
        <w:b/>
        <w:sz w:val="22"/>
      </w:rPr>
      <w:tblPr/>
    </w:tblStylePr>
  </w:style>
  <w:style w:type="table" w:customStyle="1" w:styleId="954">
    <w:name w:val="Plain Table 3"/>
    <w:basedOn w:val="950"/>
    <w:uiPriority w:val="99"/>
    <w:tblPr>
      <w:tblStyleRowBandSize w:val="1"/>
      <w:tblStyleColBandSize w:val="1"/>
      <w:tblCellMar>
        <w:left w:w="108" w:type="dxa"/>
        <w:top w:w="0" w:type="dxa"/>
        <w:right w:w="108" w:type="dxa"/>
        <w:bottom w:w="0" w:type="dxa"/>
      </w:tblCellMar>
    </w:tblPr>
    <w:tblStylePr w:type="band1Horz">
      <w:rPr>
        <w:sz w:val="22"/>
      </w:rPr>
      <w:tblPr/>
      <w:tcPr>
        <w:shd w:val="clear" w:color="F2F2F2" w:fill="F2F2F2" w:themeFill="text1" w:themeFillTint="0"/>
      </w:tcPr>
    </w:tblStylePr>
    <w:tblStylePr w:type="band1Vert">
      <w:rPr>
        <w:sz w:val="22"/>
      </w:rPr>
      <w:tblPr/>
      <w:tcPr>
        <w:shd w:val="clear" w:color="F2F2F2" w:fill="F2F2F2" w:themeFill="text1" w:themeFillTint="0"/>
      </w:tcPr>
    </w:tblStylePr>
    <w:tblStylePr w:type="firstCol">
      <w:rPr>
        <w:b/>
        <w:caps/>
      </w:rPr>
      <w:tblPr/>
      <w:tcPr>
        <w:tcBorders>
          <w:top w:val="none" w:color="000000" w:sz="4" w:space="0"/>
          <w:left w:val="none" w:color="000000" w:sz="4" w:space="0"/>
          <w:bottom w:val="none" w:color="000000" w:sz="4" w:space="0"/>
          <w:right w:val="single" w:color="404040" w:sz="4" w:space="0"/>
        </w:tcBorders>
      </w:tcPr>
    </w:tblStylePr>
    <w:tblStylePr w:type="firstRow">
      <w:rPr>
        <w:b/>
        <w:caps/>
      </w:rPr>
      <w:tblPr/>
      <w:tcPr>
        <w:tcBorders>
          <w:top w:val="none" w:color="000000" w:sz="4" w:space="0"/>
          <w:left w:val="none" w:color="000000" w:sz="4" w:space="0"/>
          <w:bottom w:val="single" w:color="404040" w:sz="4" w:space="0"/>
          <w:right w:val="none" w:color="000000" w:sz="4" w:space="0"/>
        </w:tcBorders>
      </w:tcPr>
    </w:tblStylePr>
    <w:tblStylePr w:type="lastCol">
      <w:rPr>
        <w:b/>
        <w:caps/>
      </w:rPr>
      <w:tblPr/>
    </w:tblStylePr>
    <w:tblStylePr w:type="lastRow">
      <w:rPr>
        <w:b/>
        <w:caps/>
      </w:rPr>
      <w:tblPr/>
    </w:tblStylePr>
  </w:style>
  <w:style w:type="table" w:customStyle="1" w:styleId="955">
    <w:name w:val="Plain Table 4"/>
    <w:basedOn w:val="950"/>
    <w:uiPriority w:val="99"/>
    <w:tblPr>
      <w:tblStyleRowBandSize w:val="1"/>
      <w:tblStyleColBandSize w:val="1"/>
      <w:tblCellMar>
        <w:left w:w="108" w:type="dxa"/>
        <w:top w:w="0" w:type="dxa"/>
        <w:right w:w="108" w:type="dxa"/>
        <w:bottom w:w="0" w:type="dxa"/>
      </w:tblCellMar>
    </w:tblPr>
    <w:tblStylePr w:type="band1Horz">
      <w:rPr>
        <w:sz w:val="22"/>
      </w:rPr>
      <w:tblPr/>
      <w:tcPr>
        <w:shd w:val="clear" w:color="F2F2F2" w:fill="F2F2F2" w:themeFill="text1" w:themeFillTint="0"/>
      </w:tcPr>
    </w:tblStylePr>
    <w:tblStylePr w:type="band1Vert">
      <w:rPr>
        <w:sz w:val="22"/>
      </w:rPr>
      <w:tblPr/>
      <w:tcPr>
        <w:shd w:val="clear" w:color="F2F2F2" w:fill="F2F2F2" w:themeFill="text1" w:themeFillTint="0"/>
      </w:tcPr>
    </w:tblStylePr>
    <w:tblStylePr w:type="firstCol">
      <w:rPr>
        <w:b/>
      </w:rPr>
      <w:tblPr/>
    </w:tblStylePr>
    <w:tblStylePr w:type="firstRow">
      <w:rPr>
        <w:b/>
      </w:rPr>
      <w:tblPr/>
    </w:tblStylePr>
    <w:tblStylePr w:type="lastCol">
      <w:rPr>
        <w:b/>
      </w:rPr>
      <w:tblPr/>
    </w:tblStylePr>
    <w:tblStylePr w:type="lastRow">
      <w:rPr>
        <w:b/>
      </w:rPr>
      <w:tblPr/>
    </w:tblStylePr>
  </w:style>
  <w:style w:type="table" w:customStyle="1" w:styleId="956">
    <w:name w:val="Plain Table 5"/>
    <w:basedOn w:val="950"/>
    <w:uiPriority w:val="99"/>
    <w:tblPr>
      <w:tblStyleRowBandSize w:val="1"/>
      <w:tblStyleColBandSize w:val="1"/>
      <w:tblCellMar>
        <w:left w:w="108" w:type="dxa"/>
        <w:top w:w="0" w:type="dxa"/>
        <w:right w:w="108" w:type="dxa"/>
        <w:bottom w:w="0" w:type="dxa"/>
      </w:tblCellMar>
    </w:tblPr>
    <w:tblStylePr w:type="band1Horz">
      <w:rPr>
        <w:sz w:val="22"/>
      </w:rPr>
      <w:tblPr/>
      <w:tcPr>
        <w:shd w:val="clear" w:color="F2F2F2" w:fill="F2F2F2" w:themeFill="text1" w:themeFillTint="0"/>
      </w:tcPr>
    </w:tblStylePr>
    <w:tblStylePr w:type="band1Vert">
      <w:rPr>
        <w:sz w:val="22"/>
      </w:rPr>
      <w:tblPr/>
      <w:tcPr>
        <w:shd w:val="clear" w:color="F2F2F2" w:fill="F2F2F2" w:themeFill="text1" w:themeFillTint="0"/>
      </w:tcPr>
    </w:tblStylePr>
    <w:tblStylePr w:type="firstCol">
      <w:pPr>
        <w:jc w:val="right"/>
      </w:pPr>
      <w:rPr>
        <w:i/>
      </w:rPr>
      <w:tblPr/>
      <w:tcPr>
        <w:tcBorders>
          <w:right w:val="single" w:color="404040" w:sz="4" w:space="0"/>
        </w:tcBorders>
        <w:shd w:val="clear" w:color="FFFFFF" w:fill="auto"/>
      </w:tcPr>
    </w:tblStylePr>
    <w:tblStylePr w:type="firstRow">
      <w:rPr>
        <w:i/>
      </w:rPr>
      <w:tblPr/>
      <w:tcPr>
        <w:tcBorders>
          <w:left w:val="none" w:color="000000" w:sz="4" w:space="0"/>
          <w:bottom w:val="single" w:color="404040" w:sz="4" w:space="0"/>
          <w:right w:val="none" w:color="000000" w:sz="4" w:space="0"/>
        </w:tcBorders>
        <w:shd w:val="clear" w:color="FFFFFF" w:fill="auto"/>
      </w:tcPr>
    </w:tblStylePr>
    <w:tblStylePr w:type="lastCol">
      <w:rPr>
        <w:i/>
      </w:rPr>
      <w:tblPr/>
      <w:tcPr>
        <w:tcBorders>
          <w:left w:val="single" w:color="404040" w:sz="4" w:space="0"/>
        </w:tcBorders>
        <w:shd w:val="clear" w:color="FFFFFF" w:fill="auto"/>
      </w:tcPr>
    </w:tblStylePr>
    <w:tblStylePr w:type="lastRow">
      <w:rPr>
        <w:i/>
      </w:rPr>
      <w:tblPr/>
      <w:tcPr>
        <w:tcBorders>
          <w:top w:val="single" w:color="404040" w:sz="4" w:space="0"/>
          <w:left w:val="none" w:color="000000" w:sz="4" w:space="0"/>
          <w:right w:val="none" w:color="000000" w:sz="4" w:space="0"/>
        </w:tcBorders>
        <w:shd w:val="clear" w:color="FFFFFF" w:fill="auto"/>
      </w:tcPr>
    </w:tblStylePr>
  </w:style>
  <w:style w:type="table" w:customStyle="1" w:styleId="957">
    <w:name w:val="Grid Table 1 Light"/>
    <w:basedOn w:val="950"/>
    <w:uiPriority w:val="99"/>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CellMar>
        <w:left w:w="108" w:type="dxa"/>
        <w:top w:w="0" w:type="dxa"/>
        <w:right w:w="108" w:type="dxa"/>
        <w:bottom w:w="0" w:type="dxa"/>
      </w:tblCellMar>
    </w:tblPr>
    <w:tblStylePr w:type="band1Horz">
      <w:rPr>
        <w:sz w:val="22"/>
      </w:rPr>
      <w:tblPr/>
      <w:tcPr>
        <w:tcBorders>
          <w:top w:val="single" w:color="989898" w:themeColor="text1" w:sz="4" w:space="0"/>
          <w:left w:val="single" w:color="989898" w:themeColor="text1" w:sz="4" w:space="0"/>
          <w:bottom w:val="single" w:color="989898" w:themeColor="text1" w:sz="4" w:space="0"/>
          <w:right w:val="single" w:color="989898" w:themeColor="text1" w:sz="4" w:space="0"/>
        </w:tcBorders>
      </w:tcPr>
    </w:tblStylePr>
    <w:tblStylePr w:type="firstCol">
      <w:rPr>
        <w:b/>
      </w:rPr>
      <w:tblPr/>
    </w:tblStylePr>
    <w:tblStylePr w:type="firstRow">
      <w:rPr>
        <w:b/>
      </w:rPr>
      <w:tblPr/>
      <w:tcPr>
        <w:tcBorders>
          <w:bottom w:val="single" w:color="6A6A6A" w:themeColor="text1" w:sz="12" w:space="0"/>
        </w:tcBorders>
      </w:tcPr>
    </w:tblStylePr>
    <w:tblStylePr w:type="lastCol">
      <w:rPr>
        <w:b/>
      </w:rPr>
      <w:tblPr/>
    </w:tblStylePr>
    <w:tblStylePr w:type="lastRow">
      <w:rPr>
        <w:b/>
      </w:rPr>
      <w:tblPr/>
    </w:tblStylePr>
  </w:style>
  <w:style w:type="table" w:customStyle="1" w:styleId="958">
    <w:name w:val="Grid Table 1 Light - Accent 1"/>
    <w:basedOn w:val="950"/>
    <w:uiPriority w:val="99"/>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CellMar>
        <w:left w:w="108" w:type="dxa"/>
        <w:top w:w="0" w:type="dxa"/>
        <w:right w:w="108" w:type="dxa"/>
        <w:bottom w:w="0" w:type="dxa"/>
      </w:tblCellMar>
    </w:tblPr>
    <w:tblStylePr w:type="band1Horz">
      <w:rPr>
        <w:sz w:val="22"/>
      </w:rPr>
      <w:tblPr/>
      <w:tcPr>
        <w:tcBorders>
          <w:top w:val="single" w:color="B7CBE4" w:themeColor="accent1" w:sz="4" w:space="0"/>
          <w:left w:val="single" w:color="B7CBE4" w:themeColor="accent1" w:sz="4" w:space="0"/>
          <w:bottom w:val="single" w:color="B7CBE4" w:themeColor="accent1" w:sz="4" w:space="0"/>
          <w:right w:val="single" w:color="B7CBE4" w:themeColor="accent1" w:sz="4" w:space="0"/>
        </w:tcBorders>
      </w:tcPr>
    </w:tblStylePr>
    <w:tblStylePr w:type="firstCol">
      <w:rPr>
        <w:b/>
      </w:rPr>
      <w:tblPr/>
    </w:tblStylePr>
    <w:tblStylePr w:type="firstRow">
      <w:rPr>
        <w:b/>
      </w:rPr>
      <w:tblPr/>
      <w:tcPr>
        <w:tcBorders>
          <w:bottom w:val="single" w:color="97B4D8" w:themeColor="accent1" w:sz="12" w:space="0"/>
        </w:tcBorders>
      </w:tcPr>
    </w:tblStylePr>
    <w:tblStylePr w:type="lastCol">
      <w:rPr>
        <w:b/>
      </w:rPr>
      <w:tblPr/>
    </w:tblStylePr>
    <w:tblStylePr w:type="lastRow">
      <w:rPr>
        <w:b/>
      </w:rPr>
      <w:tblPr/>
    </w:tblStylePr>
  </w:style>
  <w:style w:type="table" w:customStyle="1" w:styleId="959">
    <w:name w:val="Grid Table 1 Light - Accent 2"/>
    <w:basedOn w:val="950"/>
    <w:uiPriority w:val="99"/>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CellMar>
        <w:left w:w="108" w:type="dxa"/>
        <w:top w:w="0" w:type="dxa"/>
        <w:right w:w="108" w:type="dxa"/>
        <w:bottom w:w="0" w:type="dxa"/>
      </w:tblCellMar>
    </w:tblPr>
    <w:tblStylePr w:type="band1Horz">
      <w:rPr>
        <w:sz w:val="22"/>
      </w:rPr>
      <w:tblPr/>
      <w:tcPr>
        <w:tcBorders>
          <w:top w:val="single" w:color="E5B7B6" w:themeColor="accent2" w:sz="4" w:space="0"/>
          <w:left w:val="single" w:color="E5B7B6" w:themeColor="accent2" w:sz="4" w:space="0"/>
          <w:bottom w:val="single" w:color="E5B7B6" w:themeColor="accent2" w:sz="4" w:space="0"/>
          <w:right w:val="single" w:color="E5B7B6" w:themeColor="accent2" w:sz="4" w:space="0"/>
        </w:tcBorders>
      </w:tcPr>
    </w:tblStylePr>
    <w:tblStylePr w:type="firstCol">
      <w:rPr>
        <w:b/>
      </w:rPr>
      <w:tblPr/>
    </w:tblStylePr>
    <w:tblStylePr w:type="firstRow">
      <w:rPr>
        <w:b/>
      </w:rPr>
      <w:tblPr/>
      <w:tcPr>
        <w:tcBorders>
          <w:bottom w:val="single" w:color="DA9896" w:themeColor="accent2" w:sz="12" w:space="0"/>
        </w:tcBorders>
      </w:tcPr>
    </w:tblStylePr>
    <w:tblStylePr w:type="lastCol">
      <w:rPr>
        <w:b/>
      </w:rPr>
      <w:tblPr/>
    </w:tblStylePr>
    <w:tblStylePr w:type="lastRow">
      <w:rPr>
        <w:b/>
      </w:rPr>
      <w:tblPr/>
    </w:tblStylePr>
  </w:style>
  <w:style w:type="table" w:customStyle="1" w:styleId="960">
    <w:name w:val="Grid Table 1 Light - Accent 3"/>
    <w:basedOn w:val="950"/>
    <w:uiPriority w:val="99"/>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CellMar>
        <w:left w:w="108" w:type="dxa"/>
        <w:top w:w="0" w:type="dxa"/>
        <w:right w:w="108" w:type="dxa"/>
        <w:bottom w:w="0" w:type="dxa"/>
      </w:tblCellMar>
    </w:tblPr>
    <w:tblStylePr w:type="band1Horz">
      <w:rPr>
        <w:sz w:val="22"/>
      </w:rPr>
      <w:tblPr/>
      <w:tcPr>
        <w:tcBorders>
          <w:top w:val="single" w:color="D6E3BB" w:themeColor="accent3" w:sz="4" w:space="0"/>
          <w:left w:val="single" w:color="D6E3BB" w:themeColor="accent3" w:sz="4" w:space="0"/>
          <w:bottom w:val="single" w:color="D6E3BB" w:themeColor="accent3" w:sz="4" w:space="0"/>
          <w:right w:val="single" w:color="D6E3BB" w:themeColor="accent3" w:sz="4" w:space="0"/>
        </w:tcBorders>
      </w:tcPr>
    </w:tblStylePr>
    <w:tblStylePr w:type="firstCol">
      <w:rPr>
        <w:b/>
      </w:rPr>
      <w:tblPr/>
    </w:tblStylePr>
    <w:tblStylePr w:type="firstRow">
      <w:rPr>
        <w:b/>
      </w:rPr>
      <w:tblPr/>
      <w:tcPr>
        <w:tcBorders>
          <w:bottom w:val="single" w:color="C4D79D" w:themeColor="accent3" w:sz="12" w:space="0"/>
        </w:tcBorders>
      </w:tcPr>
    </w:tblStylePr>
    <w:tblStylePr w:type="lastCol">
      <w:rPr>
        <w:b/>
      </w:rPr>
      <w:tblPr/>
    </w:tblStylePr>
    <w:tblStylePr w:type="lastRow">
      <w:rPr>
        <w:b/>
      </w:rPr>
      <w:tblPr/>
    </w:tblStylePr>
  </w:style>
  <w:style w:type="table" w:customStyle="1" w:styleId="961">
    <w:name w:val="Grid Table 1 Light - Accent 4"/>
    <w:basedOn w:val="950"/>
    <w:uiPriority w:val="99"/>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CellMar>
        <w:left w:w="108" w:type="dxa"/>
        <w:top w:w="0" w:type="dxa"/>
        <w:right w:w="108" w:type="dxa"/>
        <w:bottom w:w="0" w:type="dxa"/>
      </w:tblCellMar>
    </w:tblPr>
    <w:tblStylePr w:type="band1Horz">
      <w:rPr>
        <w:sz w:val="22"/>
      </w:rPr>
      <w:tblPr/>
      <w:tcPr>
        <w:tcBorders>
          <w:top w:val="single" w:color="CBC0D9" w:themeColor="accent4" w:sz="4" w:space="0"/>
          <w:left w:val="single" w:color="CBC0D9" w:themeColor="accent4" w:sz="4" w:space="0"/>
          <w:bottom w:val="single" w:color="CBC0D9" w:themeColor="accent4" w:sz="4" w:space="0"/>
          <w:right w:val="single" w:color="CBC0D9" w:themeColor="accent4" w:sz="4" w:space="0"/>
        </w:tcBorders>
      </w:tcPr>
    </w:tblStylePr>
    <w:tblStylePr w:type="firstCol">
      <w:rPr>
        <w:b/>
      </w:rPr>
      <w:tblPr/>
    </w:tblStylePr>
    <w:tblStylePr w:type="firstRow">
      <w:rPr>
        <w:b/>
      </w:rPr>
      <w:tblPr/>
      <w:tcPr>
        <w:tcBorders>
          <w:bottom w:val="single" w:color="B4A4C8" w:themeColor="accent4" w:sz="12" w:space="0"/>
        </w:tcBorders>
      </w:tcPr>
    </w:tblStylePr>
    <w:tblStylePr w:type="lastCol">
      <w:rPr>
        <w:b/>
      </w:rPr>
      <w:tblPr/>
    </w:tblStylePr>
    <w:tblStylePr w:type="lastRow">
      <w:rPr>
        <w:b/>
      </w:rPr>
      <w:tblPr/>
    </w:tblStylePr>
  </w:style>
  <w:style w:type="table" w:customStyle="1" w:styleId="962">
    <w:name w:val="Grid Table 1 Light - Accent 5"/>
    <w:basedOn w:val="950"/>
    <w:uiPriority w:val="99"/>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CellMar>
        <w:left w:w="108" w:type="dxa"/>
        <w:top w:w="0" w:type="dxa"/>
        <w:right w:w="108" w:type="dxa"/>
        <w:bottom w:w="0" w:type="dxa"/>
      </w:tblCellMar>
    </w:tblPr>
    <w:tblStylePr w:type="band1Horz">
      <w:rPr>
        <w:sz w:val="22"/>
      </w:rPr>
      <w:tblPr/>
      <w:tcPr>
        <w:tcBorders>
          <w:top w:val="single" w:color="B6DDE8" w:themeColor="accent5" w:sz="4" w:space="0"/>
          <w:left w:val="single" w:color="B6DDE8" w:themeColor="accent5" w:sz="4" w:space="0"/>
          <w:bottom w:val="single" w:color="B6DDE8" w:themeColor="accent5" w:sz="4" w:space="0"/>
          <w:right w:val="single" w:color="B6DDE8" w:themeColor="accent5" w:sz="4" w:space="0"/>
        </w:tcBorders>
      </w:tcPr>
    </w:tblStylePr>
    <w:tblStylePr w:type="firstCol">
      <w:rPr>
        <w:b/>
      </w:rPr>
      <w:tblPr/>
    </w:tblStylePr>
    <w:tblStylePr w:type="firstRow">
      <w:rPr>
        <w:b/>
      </w:rPr>
      <w:tblPr/>
      <w:tcPr>
        <w:tcBorders>
          <w:bottom w:val="single" w:color="95CEDD" w:themeColor="accent5" w:sz="12" w:space="0"/>
        </w:tcBorders>
      </w:tcPr>
    </w:tblStylePr>
    <w:tblStylePr w:type="lastCol">
      <w:rPr>
        <w:b/>
      </w:rPr>
      <w:tblPr/>
    </w:tblStylePr>
    <w:tblStylePr w:type="lastRow">
      <w:rPr>
        <w:b/>
      </w:rPr>
      <w:tblPr/>
    </w:tblStylePr>
  </w:style>
  <w:style w:type="table" w:customStyle="1" w:styleId="963">
    <w:name w:val="Grid Table 1 Light - Accent 6"/>
    <w:basedOn w:val="950"/>
    <w:uiPriority w:val="99"/>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CellMar>
        <w:left w:w="108" w:type="dxa"/>
        <w:top w:w="0" w:type="dxa"/>
        <w:right w:w="108" w:type="dxa"/>
        <w:bottom w:w="0" w:type="dxa"/>
      </w:tblCellMar>
    </w:tblPr>
    <w:tblStylePr w:type="band1Horz">
      <w:rPr>
        <w:sz w:val="22"/>
      </w:rPr>
      <w:tblPr/>
      <w:tcPr>
        <w:tcBorders>
          <w:top w:val="single" w:color="FBD4B4" w:themeColor="accent6" w:sz="4" w:space="0"/>
          <w:left w:val="single" w:color="FBD4B4" w:themeColor="accent6" w:sz="4" w:space="0"/>
          <w:bottom w:val="single" w:color="FBD4B4" w:themeColor="accent6" w:sz="4" w:space="0"/>
          <w:right w:val="single" w:color="FBD4B4" w:themeColor="accent6" w:sz="4" w:space="0"/>
        </w:tcBorders>
      </w:tcPr>
    </w:tblStylePr>
    <w:tblStylePr w:type="firstCol">
      <w:rPr>
        <w:b/>
      </w:rPr>
      <w:tblPr/>
    </w:tblStylePr>
    <w:tblStylePr w:type="firstRow">
      <w:rPr>
        <w:b/>
      </w:rPr>
      <w:tblPr/>
      <w:tcPr>
        <w:tcBorders>
          <w:bottom w:val="single" w:color="FAC192" w:themeColor="accent6" w:sz="12" w:space="0"/>
        </w:tcBorders>
      </w:tcPr>
    </w:tblStylePr>
    <w:tblStylePr w:type="lastCol">
      <w:rPr>
        <w:b/>
      </w:rPr>
      <w:tblPr/>
    </w:tblStylePr>
    <w:tblStylePr w:type="lastRow">
      <w:rPr>
        <w:b/>
      </w:rPr>
      <w:tblPr/>
    </w:tblStylePr>
  </w:style>
  <w:style w:type="table" w:customStyle="1" w:styleId="964">
    <w:name w:val="Grid Table 2"/>
    <w:basedOn w:val="950"/>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CellMar>
        <w:left w:w="108" w:type="dxa"/>
        <w:top w:w="0" w:type="dxa"/>
        <w:right w:w="108" w:type="dxa"/>
        <w:bottom w:w="0" w:type="dxa"/>
      </w:tblCellMar>
    </w:tblPr>
    <w:tblStylePr w:type="band1Horz">
      <w:rPr>
        <w:sz w:val="22"/>
      </w:rPr>
      <w:tblPr/>
      <w:tcPr>
        <w:shd w:val="clear" w:color="CBCBCB" w:fill="CBCBCB" w:themeFill="text1" w:themeFillTint="34"/>
      </w:tcPr>
    </w:tblStylePr>
    <w:tblStylePr w:type="band1Vert">
      <w:rPr>
        <w:sz w:val="22"/>
      </w:rPr>
      <w:tblPr/>
      <w:tcPr>
        <w:shd w:val="clear" w:color="CBCBCB" w:fill="CBCBCB" w:themeFill="text1" w:themeFillTint="34"/>
      </w:tcPr>
    </w:tblStylePr>
    <w:tblStylePr w:type="firstCol">
      <w:rPr>
        <w:b/>
      </w:rPr>
      <w:tblPr/>
    </w:tblStylePr>
    <w:tblStylePr w:type="firstRow">
      <w:rPr>
        <w:b/>
      </w:rPr>
      <w:tblPr/>
      <w:tcPr>
        <w:tcBorders>
          <w:top w:val="none" w:color="000000" w:sz="4" w:space="0"/>
          <w:left w:val="none" w:color="000000" w:sz="4" w:space="0"/>
          <w:bottom w:val="single" w:color="6A6A6A" w:themeColor="text1" w:sz="12" w:space="0"/>
          <w:right w:val="none" w:color="000000" w:sz="4" w:space="0"/>
        </w:tcBorders>
        <w:shd w:val="clear" w:color="FFFFFF" w:fill="auto"/>
      </w:tcPr>
    </w:tblStylePr>
    <w:tblStylePr w:type="lastCol">
      <w:rPr>
        <w:b/>
      </w:rPr>
      <w:tblPr/>
    </w:tblStylePr>
    <w:tblStylePr w:type="lastRow">
      <w:rPr>
        <w:b/>
      </w:rPr>
      <w:tblPr/>
      <w:tcPr>
        <w:tcBorders>
          <w:top w:val="single" w:color="6A6A6A" w:themeColor="text1" w:sz="4" w:space="0"/>
          <w:left w:val="none" w:color="000000" w:sz="4" w:space="0"/>
          <w:bottom w:val="none" w:color="000000" w:sz="4" w:space="0"/>
          <w:right w:val="none" w:color="000000" w:sz="4" w:space="0"/>
        </w:tcBorders>
        <w:shd w:val="clear" w:color="FFFFFF" w:fill="auto"/>
      </w:tcPr>
    </w:tblStylePr>
  </w:style>
  <w:style w:type="table" w:customStyle="1" w:styleId="965">
    <w:name w:val="Grid Table 2 - Accent 1"/>
    <w:basedOn w:val="950"/>
    <w:uiPriority w:val="99"/>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CellMar>
        <w:left w:w="108" w:type="dxa"/>
        <w:top w:w="0" w:type="dxa"/>
        <w:right w:w="108" w:type="dxa"/>
        <w:bottom w:w="0" w:type="dxa"/>
      </w:tblCellMar>
    </w:tblPr>
    <w:tblStylePr w:type="band1Horz">
      <w:rPr>
        <w:sz w:val="22"/>
      </w:rPr>
      <w:tblPr/>
      <w:tcPr>
        <w:shd w:val="clear" w:color="DAE5F1" w:fill="DAE5F1" w:themeFill="accent1" w:themeFillTint="34"/>
      </w:tcPr>
    </w:tblStylePr>
    <w:tblStylePr w:type="band1Vert">
      <w:rPr>
        <w:sz w:val="22"/>
      </w:rPr>
      <w:tblPr/>
      <w:tcPr>
        <w:shd w:val="clear" w:color="DAE5F1" w:fill="DAE5F1" w:themeFill="accent1" w:themeFillTint="34"/>
      </w:tcPr>
    </w:tblStylePr>
    <w:tblStylePr w:type="firstCol">
      <w:rPr>
        <w:b/>
      </w:rPr>
      <w:tblPr/>
    </w:tblStylePr>
    <w:tblStylePr w:type="firstRow">
      <w:rPr>
        <w:b/>
      </w:rPr>
      <w:tblPr/>
      <w:tcPr>
        <w:tcBorders>
          <w:top w:val="none" w:color="000000" w:sz="4" w:space="0"/>
          <w:left w:val="none" w:color="000000" w:sz="4" w:space="0"/>
          <w:bottom w:val="single" w:color="5D8AC2" w:themeColor="accent1" w:sz="12" w:space="0"/>
          <w:right w:val="none" w:color="000000" w:sz="4" w:space="0"/>
        </w:tcBorders>
        <w:shd w:val="clear" w:color="FFFFFF" w:fill="auto"/>
      </w:tcPr>
    </w:tblStylePr>
    <w:tblStylePr w:type="lastCol">
      <w:rPr>
        <w:b/>
      </w:rPr>
      <w:tblPr/>
    </w:tblStylePr>
    <w:tblStylePr w:type="lastRow">
      <w:rPr>
        <w:b/>
      </w:rPr>
      <w:tblPr/>
      <w:tcPr>
        <w:tcBorders>
          <w:top w:val="single" w:color="5D8AC2" w:themeColor="accent1" w:sz="4" w:space="0"/>
          <w:left w:val="none" w:color="000000" w:sz="4" w:space="0"/>
          <w:bottom w:val="none" w:color="000000" w:sz="4" w:space="0"/>
          <w:right w:val="none" w:color="000000" w:sz="4" w:space="0"/>
        </w:tcBorders>
        <w:shd w:val="clear" w:color="FFFFFF" w:fill="auto"/>
      </w:tcPr>
    </w:tblStylePr>
  </w:style>
  <w:style w:type="table" w:customStyle="1" w:styleId="966">
    <w:name w:val="Grid Table 2 - Accent 2"/>
    <w:basedOn w:val="950"/>
    <w:uiPriority w:val="99"/>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CellMar>
        <w:left w:w="108" w:type="dxa"/>
        <w:top w:w="0" w:type="dxa"/>
        <w:right w:w="108" w:type="dxa"/>
        <w:bottom w:w="0" w:type="dxa"/>
      </w:tblCellMar>
    </w:tblPr>
    <w:tblStylePr w:type="band1Horz">
      <w:rPr>
        <w:sz w:val="22"/>
      </w:rPr>
      <w:tblPr/>
      <w:tcPr>
        <w:shd w:val="clear" w:color="F2DCDC" w:fill="F2DCDC" w:themeFill="accent2" w:themeFillTint="32"/>
      </w:tcPr>
    </w:tblStylePr>
    <w:tblStylePr w:type="band1Vert">
      <w:rPr>
        <w:sz w:val="22"/>
      </w:rPr>
      <w:tblPr/>
      <w:tcPr>
        <w:shd w:val="clear" w:color="F2DCDC" w:fill="F2DCDC" w:themeFill="accent2" w:themeFillTint="32"/>
      </w:tcPr>
    </w:tblStylePr>
    <w:tblStylePr w:type="firstCol">
      <w:rPr>
        <w:b/>
      </w:rPr>
      <w:tblPr/>
    </w:tblStylePr>
    <w:tblStylePr w:type="firstRow">
      <w:rPr>
        <w:b/>
      </w:rPr>
      <w:tblPr/>
      <w:tcPr>
        <w:tcBorders>
          <w:top w:val="none" w:color="000000" w:sz="4" w:space="0"/>
          <w:left w:val="none" w:color="000000" w:sz="4" w:space="0"/>
          <w:bottom w:val="single" w:color="D99695" w:themeColor="accent2" w:sz="12" w:space="0"/>
          <w:right w:val="none" w:color="000000" w:sz="4" w:space="0"/>
        </w:tcBorders>
        <w:shd w:val="clear" w:color="FFFFFF" w:fill="auto"/>
      </w:tcPr>
    </w:tblStylePr>
    <w:tblStylePr w:type="lastCol">
      <w:rPr>
        <w:b/>
      </w:rPr>
      <w:tblPr/>
    </w:tblStylePr>
    <w:tblStylePr w:type="lastRow">
      <w:rPr>
        <w:b/>
      </w:rPr>
      <w:tblPr/>
      <w:tcPr>
        <w:tcBorders>
          <w:top w:val="single" w:color="D99695" w:themeColor="accent2" w:sz="4" w:space="0"/>
          <w:left w:val="none" w:color="000000" w:sz="4" w:space="0"/>
          <w:bottom w:val="none" w:color="000000" w:sz="4" w:space="0"/>
          <w:right w:val="none" w:color="000000" w:sz="4" w:space="0"/>
        </w:tcBorders>
        <w:shd w:val="clear" w:color="FFFFFF" w:fill="auto"/>
      </w:tcPr>
    </w:tblStylePr>
  </w:style>
  <w:style w:type="table" w:customStyle="1" w:styleId="967">
    <w:name w:val="Grid Table 2 - Accent 3"/>
    <w:basedOn w:val="950"/>
    <w:uiPriority w:val="99"/>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CellMar>
        <w:left w:w="108" w:type="dxa"/>
        <w:top w:w="0" w:type="dxa"/>
        <w:right w:w="108" w:type="dxa"/>
        <w:bottom w:w="0" w:type="dxa"/>
      </w:tblCellMar>
    </w:tblPr>
    <w:tblStylePr w:type="band1Horz">
      <w:rPr>
        <w:sz w:val="22"/>
      </w:rPr>
      <w:tblPr/>
      <w:tcPr>
        <w:shd w:val="clear" w:color="EAF1DC" w:fill="EAF1DC" w:themeFill="accent3" w:themeFillTint="34"/>
      </w:tcPr>
    </w:tblStylePr>
    <w:tblStylePr w:type="band1Vert">
      <w:rPr>
        <w:sz w:val="22"/>
      </w:rPr>
      <w:tblPr/>
      <w:tcPr>
        <w:shd w:val="clear" w:color="EAF1DC" w:fill="EAF1DC" w:themeFill="accent3" w:themeFillTint="34"/>
      </w:tcPr>
    </w:tblStylePr>
    <w:tblStylePr w:type="firstCol">
      <w:rPr>
        <w:b/>
      </w:rPr>
      <w:tblPr/>
    </w:tblStylePr>
    <w:tblStylePr w:type="firstRow">
      <w:rPr>
        <w:b/>
      </w:rPr>
      <w:tblPr/>
      <w:tcPr>
        <w:tcBorders>
          <w:top w:val="none" w:color="000000" w:sz="4" w:space="0"/>
          <w:left w:val="none" w:color="000000" w:sz="4" w:space="0"/>
          <w:bottom w:val="single" w:color="9ABB59" w:themeColor="accent3" w:sz="12" w:space="0"/>
          <w:right w:val="none" w:color="000000" w:sz="4" w:space="0"/>
        </w:tcBorders>
        <w:shd w:val="clear" w:color="FFFFFF" w:fill="auto"/>
      </w:tcPr>
    </w:tblStylePr>
    <w:tblStylePr w:type="lastCol">
      <w:rPr>
        <w:b/>
      </w:rPr>
      <w:tblPr/>
    </w:tblStylePr>
    <w:tblStylePr w:type="lastRow">
      <w:rPr>
        <w:b/>
      </w:rPr>
      <w:tblPr/>
      <w:tcPr>
        <w:tcBorders>
          <w:top w:val="single" w:color="9ABB59" w:themeColor="accent3" w:sz="4" w:space="0"/>
          <w:left w:val="none" w:color="000000" w:sz="4" w:space="0"/>
          <w:bottom w:val="none" w:color="000000" w:sz="4" w:space="0"/>
          <w:right w:val="none" w:color="000000" w:sz="4" w:space="0"/>
        </w:tcBorders>
        <w:shd w:val="clear" w:color="FFFFFF" w:fill="auto"/>
      </w:tcPr>
    </w:tblStylePr>
  </w:style>
  <w:style w:type="table" w:customStyle="1" w:styleId="968">
    <w:name w:val="Grid Table 2 - Accent 4"/>
    <w:basedOn w:val="950"/>
    <w:uiPriority w:val="99"/>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CellMar>
        <w:left w:w="108" w:type="dxa"/>
        <w:top w:w="0" w:type="dxa"/>
        <w:right w:w="108" w:type="dxa"/>
        <w:bottom w:w="0" w:type="dxa"/>
      </w:tblCellMar>
    </w:tblPr>
    <w:tblStylePr w:type="band1Horz">
      <w:rPr>
        <w:sz w:val="22"/>
      </w:rPr>
      <w:tblPr/>
      <w:tcPr>
        <w:shd w:val="clear" w:color="E5DFEC" w:fill="E5DFEC" w:themeFill="accent4" w:themeFillTint="34"/>
      </w:tcPr>
    </w:tblStylePr>
    <w:tblStylePr w:type="band1Vert">
      <w:rPr>
        <w:sz w:val="22"/>
      </w:rPr>
      <w:tblPr/>
      <w:tcPr>
        <w:shd w:val="clear" w:color="E5DFEC" w:fill="E5DFEC" w:themeFill="accent4" w:themeFillTint="34"/>
      </w:tcPr>
    </w:tblStylePr>
    <w:tblStylePr w:type="firstCol">
      <w:rPr>
        <w:b/>
      </w:rPr>
      <w:tblPr/>
    </w:tblStylePr>
    <w:tblStylePr w:type="firstRow">
      <w:rPr>
        <w:b/>
      </w:rPr>
      <w:tblPr/>
      <w:tcPr>
        <w:tcBorders>
          <w:top w:val="none" w:color="000000" w:sz="4" w:space="0"/>
          <w:left w:val="none" w:color="000000" w:sz="4" w:space="0"/>
          <w:bottom w:val="single" w:color="B2A1C6" w:themeColor="accent4" w:sz="12" w:space="0"/>
          <w:right w:val="none" w:color="000000" w:sz="4" w:space="0"/>
        </w:tcBorders>
        <w:shd w:val="clear" w:color="FFFFFF" w:fill="auto"/>
      </w:tcPr>
    </w:tblStylePr>
    <w:tblStylePr w:type="lastCol">
      <w:rPr>
        <w:b/>
      </w:rPr>
      <w:tblPr/>
    </w:tblStylePr>
    <w:tblStylePr w:type="lastRow">
      <w:rPr>
        <w:b/>
      </w:rPr>
      <w:tblPr/>
      <w:tcPr>
        <w:tcBorders>
          <w:top w:val="single" w:color="B2A1C6" w:themeColor="accent4" w:sz="4" w:space="0"/>
          <w:left w:val="none" w:color="000000" w:sz="4" w:space="0"/>
          <w:bottom w:val="none" w:color="000000" w:sz="4" w:space="0"/>
          <w:right w:val="none" w:color="000000" w:sz="4" w:space="0"/>
        </w:tcBorders>
        <w:shd w:val="clear" w:color="FFFFFF" w:fill="auto"/>
      </w:tcPr>
    </w:tblStylePr>
  </w:style>
  <w:style w:type="table" w:customStyle="1" w:styleId="969">
    <w:name w:val="Grid Table 2 - Accent 5"/>
    <w:basedOn w:val="950"/>
    <w:uiPriority w:val="99"/>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CellMar>
        <w:left w:w="108" w:type="dxa"/>
        <w:top w:w="0" w:type="dxa"/>
        <w:right w:w="108" w:type="dxa"/>
        <w:bottom w:w="0" w:type="dxa"/>
      </w:tblCellMar>
    </w:tblPr>
    <w:tblStylePr w:type="band1Horz">
      <w:rPr>
        <w:sz w:val="22"/>
      </w:rPr>
      <w:tblPr/>
      <w:tcPr>
        <w:shd w:val="clear" w:color="DAEEF3" w:fill="DAEEF3" w:themeFill="accent5" w:themeFillTint="34"/>
      </w:tcPr>
    </w:tblStylePr>
    <w:tblStylePr w:type="band1Vert">
      <w:rPr>
        <w:sz w:val="22"/>
      </w:rPr>
      <w:tblPr/>
      <w:tcPr>
        <w:shd w:val="clear" w:color="DAEEF3" w:fill="DAEEF3" w:themeFill="accent5" w:themeFillTint="34"/>
      </w:tcPr>
    </w:tblStylePr>
    <w:tblStylePr w:type="firstCol">
      <w:rPr>
        <w:b/>
      </w:rPr>
      <w:tblPr/>
    </w:tblStylePr>
    <w:tblStylePr w:type="firstRow">
      <w:rPr>
        <w:b/>
      </w:rPr>
      <w:tblPr/>
      <w:tcPr>
        <w:tcBorders>
          <w:top w:val="none" w:color="000000" w:sz="4" w:space="0"/>
          <w:left w:val="none" w:color="000000" w:sz="4" w:space="0"/>
          <w:bottom w:val="single" w:color="4BACC6" w:themeColor="accent5" w:sz="12" w:space="0"/>
          <w:right w:val="none" w:color="000000" w:sz="4" w:space="0"/>
        </w:tcBorders>
        <w:shd w:val="clear" w:color="FFFFFF" w:fill="auto"/>
      </w:tcPr>
    </w:tblStylePr>
    <w:tblStylePr w:type="lastCol">
      <w:rPr>
        <w:b/>
      </w:rPr>
      <w:tblPr/>
    </w:tblStylePr>
    <w:tblStylePr w:type="lastRow">
      <w:rPr>
        <w:b/>
      </w:rPr>
      <w:tblPr/>
      <w:tcPr>
        <w:tcBorders>
          <w:top w:val="single" w:color="4BACC6" w:themeColor="accent5" w:sz="4" w:space="0"/>
          <w:left w:val="none" w:color="000000" w:sz="4" w:space="0"/>
          <w:bottom w:val="none" w:color="000000" w:sz="4" w:space="0"/>
          <w:right w:val="none" w:color="000000" w:sz="4" w:space="0"/>
        </w:tcBorders>
        <w:shd w:val="clear" w:color="FFFFFF" w:fill="auto"/>
      </w:tcPr>
    </w:tblStylePr>
  </w:style>
  <w:style w:type="table" w:customStyle="1" w:styleId="970">
    <w:name w:val="Grid Table 2 - Accent 6"/>
    <w:basedOn w:val="950"/>
    <w:uiPriority w:val="99"/>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CellMar>
        <w:left w:w="108" w:type="dxa"/>
        <w:top w:w="0" w:type="dxa"/>
        <w:right w:w="108" w:type="dxa"/>
        <w:bottom w:w="0" w:type="dxa"/>
      </w:tblCellMar>
    </w:tblPr>
    <w:tblStylePr w:type="band1Horz">
      <w:rPr>
        <w:sz w:val="22"/>
      </w:rPr>
      <w:tblPr/>
      <w:tcPr>
        <w:shd w:val="clear" w:color="FDE9D8" w:fill="FDE9D8" w:themeFill="accent6" w:themeFillTint="34"/>
      </w:tcPr>
    </w:tblStylePr>
    <w:tblStylePr w:type="band1Vert">
      <w:rPr>
        <w:sz w:val="22"/>
      </w:rPr>
      <w:tblPr/>
      <w:tcPr>
        <w:shd w:val="clear" w:color="FDE9D8" w:fill="FDE9D8" w:themeFill="accent6" w:themeFillTint="34"/>
      </w:tcPr>
    </w:tblStylePr>
    <w:tblStylePr w:type="firstCol">
      <w:rPr>
        <w:b/>
      </w:rPr>
      <w:tblPr/>
    </w:tblStylePr>
    <w:tblStylePr w:type="firstRow">
      <w:rPr>
        <w:b/>
      </w:rPr>
      <w:tblPr/>
      <w:tcPr>
        <w:tcBorders>
          <w:top w:val="none" w:color="000000" w:sz="4" w:space="0"/>
          <w:left w:val="none" w:color="000000" w:sz="4" w:space="0"/>
          <w:bottom w:val="single" w:color="F79646" w:themeColor="accent6" w:sz="12" w:space="0"/>
          <w:right w:val="none" w:color="000000" w:sz="4" w:space="0"/>
        </w:tcBorders>
        <w:shd w:val="clear" w:color="FFFFFF" w:fill="auto"/>
      </w:tcPr>
    </w:tblStylePr>
    <w:tblStylePr w:type="lastCol">
      <w:rPr>
        <w:b/>
      </w:rPr>
      <w:tblPr/>
    </w:tblStylePr>
    <w:tblStylePr w:type="lastRow">
      <w:rPr>
        <w:b/>
      </w:rPr>
      <w:tblPr/>
      <w:tcPr>
        <w:tcBorders>
          <w:top w:val="single" w:color="F79646" w:themeColor="accent6" w:sz="4" w:space="0"/>
          <w:left w:val="none" w:color="000000" w:sz="4" w:space="0"/>
          <w:bottom w:val="none" w:color="000000" w:sz="4" w:space="0"/>
          <w:right w:val="none" w:color="000000" w:sz="4" w:space="0"/>
        </w:tcBorders>
        <w:shd w:val="clear" w:color="FFFFFF" w:fill="auto"/>
      </w:tcPr>
    </w:tblStylePr>
  </w:style>
  <w:style w:type="table" w:customStyle="1" w:styleId="971">
    <w:name w:val="Grid Table 3"/>
    <w:basedOn w:val="950"/>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CellMar>
        <w:left w:w="108" w:type="dxa"/>
        <w:top w:w="0" w:type="dxa"/>
        <w:right w:w="108" w:type="dxa"/>
        <w:bottom w:w="0" w:type="dxa"/>
      </w:tblCellMar>
    </w:tblPr>
    <w:tblStylePr w:type="band1Horz">
      <w:rPr>
        <w:sz w:val="22"/>
      </w:rPr>
      <w:tblPr/>
      <w:tcPr>
        <w:shd w:val="clear" w:color="CBCBCB" w:fill="CBCBCB" w:themeFill="text1" w:themeFillTint="34"/>
      </w:tcPr>
    </w:tblStylePr>
    <w:tblStylePr w:type="band1Vert">
      <w:rPr>
        <w:sz w:val="22"/>
      </w:rPr>
      <w:tblPr/>
      <w:tcPr>
        <w:shd w:val="clear" w:color="CBCBCB" w:fill="CBCBCB" w:themeFill="text1" w:themeFillTint="34"/>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customStyle="1" w:styleId="972">
    <w:name w:val="Grid Table 3 - Accent 1"/>
    <w:basedOn w:val="950"/>
    <w:uiPriority w:val="99"/>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CellMar>
        <w:left w:w="108" w:type="dxa"/>
        <w:top w:w="0" w:type="dxa"/>
        <w:right w:w="108" w:type="dxa"/>
        <w:bottom w:w="0" w:type="dxa"/>
      </w:tblCellMar>
    </w:tblPr>
    <w:tblStylePr w:type="band1Horz">
      <w:rPr>
        <w:sz w:val="22"/>
      </w:rPr>
      <w:tblPr/>
      <w:tcPr>
        <w:shd w:val="clear" w:color="DAE5F1" w:fill="DAE5F1" w:themeFill="accent1" w:themeFillTint="34"/>
      </w:tcPr>
    </w:tblStylePr>
    <w:tblStylePr w:type="band1Vert">
      <w:rPr>
        <w:sz w:val="22"/>
      </w:rPr>
      <w:tblPr/>
      <w:tcPr>
        <w:shd w:val="clear" w:color="DAE5F1" w:fill="DAE5F1" w:themeFill="accent1" w:themeFillTint="34"/>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customStyle="1" w:styleId="973">
    <w:name w:val="Grid Table 3 - Accent 2"/>
    <w:basedOn w:val="950"/>
    <w:uiPriority w:val="99"/>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CellMar>
        <w:left w:w="108" w:type="dxa"/>
        <w:top w:w="0" w:type="dxa"/>
        <w:right w:w="108" w:type="dxa"/>
        <w:bottom w:w="0" w:type="dxa"/>
      </w:tblCellMar>
    </w:tblPr>
    <w:tblStylePr w:type="band1Horz">
      <w:rPr>
        <w:sz w:val="22"/>
      </w:rPr>
      <w:tblPr/>
      <w:tcPr>
        <w:shd w:val="clear" w:color="F2DCDC" w:fill="F2DCDC" w:themeFill="accent2" w:themeFillTint="32"/>
      </w:tcPr>
    </w:tblStylePr>
    <w:tblStylePr w:type="band1Vert">
      <w:rPr>
        <w:sz w:val="22"/>
      </w:rPr>
      <w:tblPr/>
      <w:tcPr>
        <w:shd w:val="clear" w:color="F2DCDC" w:fill="F2DCDC" w:themeFill="accent2" w:themeFillTint="32"/>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customStyle="1" w:styleId="974">
    <w:name w:val="Grid Table 3 - Accent 3"/>
    <w:basedOn w:val="950"/>
    <w:uiPriority w:val="99"/>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CellMar>
        <w:left w:w="108" w:type="dxa"/>
        <w:top w:w="0" w:type="dxa"/>
        <w:right w:w="108" w:type="dxa"/>
        <w:bottom w:w="0" w:type="dxa"/>
      </w:tblCellMar>
    </w:tblPr>
    <w:tblStylePr w:type="band1Horz">
      <w:rPr>
        <w:sz w:val="22"/>
      </w:rPr>
      <w:tblPr/>
      <w:tcPr>
        <w:shd w:val="clear" w:color="EAF1DC" w:fill="EAF1DC" w:themeFill="accent3" w:themeFillTint="34"/>
      </w:tcPr>
    </w:tblStylePr>
    <w:tblStylePr w:type="band1Vert">
      <w:rPr>
        <w:sz w:val="22"/>
      </w:rPr>
      <w:tblPr/>
      <w:tcPr>
        <w:shd w:val="clear" w:color="EAF1DC" w:fill="EAF1DC" w:themeFill="accent3" w:themeFillTint="34"/>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customStyle="1" w:styleId="975">
    <w:name w:val="Grid Table 3 - Accent 4"/>
    <w:basedOn w:val="950"/>
    <w:uiPriority w:val="99"/>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CellMar>
        <w:left w:w="108" w:type="dxa"/>
        <w:top w:w="0" w:type="dxa"/>
        <w:right w:w="108" w:type="dxa"/>
        <w:bottom w:w="0" w:type="dxa"/>
      </w:tblCellMar>
    </w:tblPr>
    <w:tblStylePr w:type="band1Horz">
      <w:rPr>
        <w:sz w:val="22"/>
      </w:rPr>
      <w:tblPr/>
      <w:tcPr>
        <w:shd w:val="clear" w:color="E5DFEC" w:fill="E5DFEC" w:themeFill="accent4" w:themeFillTint="34"/>
      </w:tcPr>
    </w:tblStylePr>
    <w:tblStylePr w:type="band1Vert">
      <w:rPr>
        <w:sz w:val="22"/>
      </w:rPr>
      <w:tblPr/>
      <w:tcPr>
        <w:shd w:val="clear" w:color="E5DFEC" w:fill="E5DFEC" w:themeFill="accent4" w:themeFillTint="34"/>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customStyle="1" w:styleId="976">
    <w:name w:val="Grid Table 3 - Accent 5"/>
    <w:basedOn w:val="950"/>
    <w:uiPriority w:val="99"/>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CellMar>
        <w:left w:w="108" w:type="dxa"/>
        <w:top w:w="0" w:type="dxa"/>
        <w:right w:w="108" w:type="dxa"/>
        <w:bottom w:w="0" w:type="dxa"/>
      </w:tblCellMar>
    </w:tblPr>
    <w:tblStylePr w:type="band1Horz">
      <w:rPr>
        <w:sz w:val="22"/>
      </w:rPr>
      <w:tblPr/>
      <w:tcPr>
        <w:shd w:val="clear" w:color="DAEEF3" w:fill="DAEEF3" w:themeFill="accent5" w:themeFillTint="34"/>
      </w:tcPr>
    </w:tblStylePr>
    <w:tblStylePr w:type="band1Vert">
      <w:rPr>
        <w:sz w:val="22"/>
      </w:rPr>
      <w:tblPr/>
      <w:tcPr>
        <w:shd w:val="clear" w:color="DAEEF3" w:fill="DAEEF3" w:themeFill="accent5" w:themeFillTint="34"/>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customStyle="1" w:styleId="977">
    <w:name w:val="Grid Table 3 - Accent 6"/>
    <w:basedOn w:val="950"/>
    <w:uiPriority w:val="99"/>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CellMar>
        <w:left w:w="108" w:type="dxa"/>
        <w:top w:w="0" w:type="dxa"/>
        <w:right w:w="108" w:type="dxa"/>
        <w:bottom w:w="0" w:type="dxa"/>
      </w:tblCellMar>
    </w:tblPr>
    <w:tblStylePr w:type="band1Horz">
      <w:rPr>
        <w:sz w:val="22"/>
      </w:rPr>
      <w:tblPr/>
      <w:tcPr>
        <w:shd w:val="clear" w:color="FDE9D8" w:fill="FDE9D8" w:themeFill="accent6" w:themeFillTint="34"/>
      </w:tcPr>
    </w:tblStylePr>
    <w:tblStylePr w:type="band1Vert">
      <w:rPr>
        <w:sz w:val="22"/>
      </w:rPr>
      <w:tblPr/>
      <w:tcPr>
        <w:shd w:val="clear" w:color="FDE9D8" w:fill="FDE9D8" w:themeFill="accent6" w:themeFillTint="34"/>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customStyle="1" w:styleId="978">
    <w:name w:val="Grid Table 4"/>
    <w:basedOn w:val="950"/>
    <w:uiPriority w:val="59"/>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CellMar>
        <w:left w:w="108" w:type="dxa"/>
        <w:top w:w="0" w:type="dxa"/>
        <w:right w:w="108" w:type="dxa"/>
        <w:bottom w:w="0" w:type="dxa"/>
      </w:tblCellMar>
    </w:tblPr>
    <w:tblStylePr w:type="band1Horz">
      <w:rPr>
        <w:sz w:val="22"/>
      </w:rPr>
      <w:tblPr/>
      <w:tcPr>
        <w:shd w:val="clear" w:color="CBCBCB" w:fill="CBCBCB" w:themeFill="text1" w:themeFillTint="34"/>
      </w:tcPr>
    </w:tblStylePr>
    <w:tblStylePr w:type="band1Vert">
      <w:rPr>
        <w:sz w:val="22"/>
      </w:rPr>
      <w:tblPr/>
      <w:tcPr>
        <w:shd w:val="clear" w:color="CBCBCB" w:fill="CBCBCB" w:themeFill="text1" w:themeFillTint="34"/>
      </w:tcPr>
    </w:tblStylePr>
    <w:tblStylePr w:type="firstCol">
      <w:rPr>
        <w:b/>
      </w:rPr>
      <w:tblPr/>
    </w:tblStylePr>
    <w:tblStylePr w:type="firstRow">
      <w:rPr>
        <w:b/>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fill="000000" w:themeFill="text1"/>
      </w:tcPr>
    </w:tblStylePr>
    <w:tblStylePr w:type="lastCol">
      <w:rPr>
        <w:b/>
      </w:rPr>
      <w:tblPr/>
    </w:tblStylePr>
    <w:tblStylePr w:type="lastRow">
      <w:rPr>
        <w:b/>
      </w:rPr>
      <w:tblPr/>
      <w:tcPr>
        <w:tcBorders>
          <w:top w:val="single" w:color="000000" w:themeColor="text1" w:sz="4" w:space="0"/>
        </w:tcBorders>
      </w:tcPr>
    </w:tblStylePr>
  </w:style>
  <w:style w:type="table" w:customStyle="1" w:styleId="979">
    <w:name w:val="Grid Table 4 - Accent 1"/>
    <w:basedOn w:val="950"/>
    <w:uiPriority w:val="59"/>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CellMar>
        <w:left w:w="108" w:type="dxa"/>
        <w:top w:w="0" w:type="dxa"/>
        <w:right w:w="108" w:type="dxa"/>
        <w:bottom w:w="0" w:type="dxa"/>
      </w:tblCellMar>
    </w:tblPr>
    <w:tblStylePr w:type="band1Horz">
      <w:rPr>
        <w:sz w:val="22"/>
      </w:rPr>
      <w:tblPr/>
      <w:tcPr>
        <w:shd w:val="clear" w:color="DCE6F2" w:fill="DCE6F2" w:themeFill="accent1" w:themeFillTint="32"/>
      </w:tcPr>
    </w:tblStylePr>
    <w:tblStylePr w:type="band1Vert">
      <w:rPr>
        <w:sz w:val="22"/>
      </w:rPr>
      <w:tblPr/>
      <w:tcPr>
        <w:shd w:val="clear" w:color="DCE6F2" w:fill="DCE6F2" w:themeFill="accent1" w:themeFillTint="32"/>
      </w:tcPr>
    </w:tblStylePr>
    <w:tblStylePr w:type="firstCol">
      <w:rPr>
        <w:b/>
      </w:rPr>
      <w:tblPr/>
    </w:tblStylePr>
    <w:tblStylePr w:type="firstRow">
      <w:rPr>
        <w:b/>
        <w:sz w:val="22"/>
      </w:rPr>
      <w:tblPr/>
      <w:tcPr>
        <w:tcBorders>
          <w:top w:val="single" w:color="5D8AC2" w:themeColor="accent1" w:sz="4" w:space="0"/>
          <w:left w:val="single" w:color="5D8AC2" w:themeColor="accent1" w:sz="4" w:space="0"/>
          <w:bottom w:val="single" w:color="5D8AC2" w:themeColor="accent1" w:sz="4" w:space="0"/>
          <w:right w:val="single" w:color="5D8AC2" w:themeColor="accent1" w:sz="4" w:space="0"/>
        </w:tcBorders>
        <w:shd w:val="clear" w:color="5D8AC2" w:fill="5D8AC2" w:themeFill="accent1" w:themeFillTint="ea"/>
      </w:tcPr>
    </w:tblStylePr>
    <w:tblStylePr w:type="lastCol">
      <w:rPr>
        <w:b/>
      </w:rPr>
      <w:tblPr/>
    </w:tblStylePr>
    <w:tblStylePr w:type="lastRow">
      <w:rPr>
        <w:b/>
      </w:rPr>
      <w:tblPr/>
      <w:tcPr>
        <w:tcBorders>
          <w:top w:val="single" w:color="5D8AC2" w:themeColor="accent1" w:sz="4" w:space="0"/>
        </w:tcBorders>
      </w:tcPr>
    </w:tblStylePr>
  </w:style>
  <w:style w:type="table" w:customStyle="1" w:styleId="980">
    <w:name w:val="Grid Table 4 - Accent 2"/>
    <w:basedOn w:val="950"/>
    <w:uiPriority w:val="59"/>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insideV w:val="single" w:color="DB9B9A" w:themeColor="accent2" w:themeTint="90" w:sz="4" w:space="0"/>
      </w:tblBorders>
      <w:tblCellMar>
        <w:left w:w="108" w:type="dxa"/>
        <w:top w:w="0" w:type="dxa"/>
        <w:right w:w="108" w:type="dxa"/>
        <w:bottom w:w="0" w:type="dxa"/>
      </w:tblCellMar>
    </w:tblPr>
    <w:tblStylePr w:type="band1Horz">
      <w:rPr>
        <w:sz w:val="22"/>
      </w:rPr>
      <w:tblPr/>
      <w:tcPr>
        <w:shd w:val="clear" w:color="F2DCDC" w:fill="F2DCDC" w:themeFill="accent2" w:themeFillTint="32"/>
      </w:tcPr>
    </w:tblStylePr>
    <w:tblStylePr w:type="band1Vert">
      <w:rPr>
        <w:sz w:val="22"/>
      </w:rPr>
      <w:tblPr/>
      <w:tcPr>
        <w:shd w:val="clear" w:color="F2DCDC" w:fill="F2DCDC" w:themeFill="accent2" w:themeFillTint="32"/>
      </w:tcPr>
    </w:tblStylePr>
    <w:tblStylePr w:type="firstCol">
      <w:rPr>
        <w:b/>
      </w:rPr>
      <w:tblPr/>
    </w:tblStylePr>
    <w:tblStylePr w:type="firstRow">
      <w:rPr>
        <w:b/>
        <w:sz w:val="22"/>
      </w:rPr>
      <w:tblPr/>
      <w:tcPr>
        <w:tcBorders>
          <w:top w:val="single" w:color="D99695" w:themeColor="accent2" w:sz="4" w:space="0"/>
          <w:left w:val="single" w:color="D99695" w:themeColor="accent2" w:sz="4" w:space="0"/>
          <w:bottom w:val="single" w:color="D99695" w:themeColor="accent2" w:sz="4" w:space="0"/>
          <w:right w:val="single" w:color="D99695" w:themeColor="accent2" w:sz="4" w:space="0"/>
        </w:tcBorders>
        <w:shd w:val="clear" w:color="D99695" w:fill="D99695" w:themeFill="accent2" w:themeFillTint="97"/>
      </w:tcPr>
    </w:tblStylePr>
    <w:tblStylePr w:type="lastCol">
      <w:rPr>
        <w:b/>
      </w:rPr>
      <w:tblPr/>
    </w:tblStylePr>
    <w:tblStylePr w:type="lastRow">
      <w:rPr>
        <w:b/>
      </w:rPr>
      <w:tblPr/>
      <w:tcPr>
        <w:tcBorders>
          <w:top w:val="single" w:color="D99695" w:themeColor="accent2" w:sz="4" w:space="0"/>
        </w:tcBorders>
      </w:tcPr>
    </w:tblStylePr>
  </w:style>
  <w:style w:type="table" w:customStyle="1" w:styleId="981">
    <w:name w:val="Grid Table 4 - Accent 3"/>
    <w:basedOn w:val="950"/>
    <w:uiPriority w:val="59"/>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CellMar>
        <w:left w:w="108" w:type="dxa"/>
        <w:top w:w="0" w:type="dxa"/>
        <w:right w:w="108" w:type="dxa"/>
        <w:bottom w:w="0" w:type="dxa"/>
      </w:tblCellMar>
    </w:tblPr>
    <w:tblStylePr w:type="band1Horz">
      <w:rPr>
        <w:sz w:val="22"/>
      </w:rPr>
      <w:tblPr/>
      <w:tcPr>
        <w:shd w:val="clear" w:color="EAF1DC" w:fill="EAF1DC" w:themeFill="accent3" w:themeFillTint="34"/>
      </w:tcPr>
    </w:tblStylePr>
    <w:tblStylePr w:type="band1Vert">
      <w:rPr>
        <w:sz w:val="22"/>
      </w:rPr>
      <w:tblPr/>
      <w:tcPr>
        <w:shd w:val="clear" w:color="EAF1DC" w:fill="EAF1DC" w:themeFill="accent3" w:themeFillTint="34"/>
      </w:tcPr>
    </w:tblStylePr>
    <w:tblStylePr w:type="firstCol">
      <w:rPr>
        <w:b/>
      </w:rPr>
      <w:tblPr/>
    </w:tblStylePr>
    <w:tblStylePr w:type="firstRow">
      <w:rPr>
        <w:b/>
        <w:sz w:val="22"/>
      </w:rPr>
      <w:tblPr/>
      <w:tcPr>
        <w:tcBorders>
          <w:top w:val="single" w:color="9ABB59" w:themeColor="accent3" w:sz="4" w:space="0"/>
          <w:left w:val="single" w:color="9ABB59" w:themeColor="accent3" w:sz="4" w:space="0"/>
          <w:bottom w:val="single" w:color="9ABB59" w:themeColor="accent3" w:sz="4" w:space="0"/>
          <w:right w:val="single" w:color="9ABB59" w:themeColor="accent3" w:sz="4" w:space="0"/>
        </w:tcBorders>
        <w:shd w:val="clear" w:color="9ABB59" w:fill="9ABB59" w:themeFill="accent3" w:themeFillTint="fe"/>
      </w:tcPr>
    </w:tblStylePr>
    <w:tblStylePr w:type="lastCol">
      <w:rPr>
        <w:b/>
      </w:rPr>
      <w:tblPr/>
    </w:tblStylePr>
    <w:tblStylePr w:type="lastRow">
      <w:rPr>
        <w:b/>
      </w:rPr>
      <w:tblPr/>
      <w:tcPr>
        <w:tcBorders>
          <w:top w:val="single" w:color="9ABB59" w:themeColor="accent3" w:sz="4" w:space="0"/>
        </w:tcBorders>
      </w:tcPr>
    </w:tblStylePr>
  </w:style>
  <w:style w:type="table" w:customStyle="1" w:styleId="982">
    <w:name w:val="Grid Table 4 - Accent 4"/>
    <w:basedOn w:val="950"/>
    <w:uiPriority w:val="59"/>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CellMar>
        <w:left w:w="108" w:type="dxa"/>
        <w:top w:w="0" w:type="dxa"/>
        <w:right w:w="108" w:type="dxa"/>
        <w:bottom w:w="0" w:type="dxa"/>
      </w:tblCellMar>
    </w:tblPr>
    <w:tblStylePr w:type="band1Horz">
      <w:rPr>
        <w:sz w:val="22"/>
      </w:rPr>
      <w:tblPr/>
      <w:tcPr>
        <w:shd w:val="clear" w:color="E5DFEC" w:fill="E5DFEC" w:themeFill="accent4" w:themeFillTint="34"/>
      </w:tcPr>
    </w:tblStylePr>
    <w:tblStylePr w:type="band1Vert">
      <w:rPr>
        <w:sz w:val="22"/>
      </w:rPr>
      <w:tblPr/>
      <w:tcPr>
        <w:shd w:val="clear" w:color="E5DFEC" w:fill="E5DFEC" w:themeFill="accent4" w:themeFillTint="34"/>
      </w:tcPr>
    </w:tblStylePr>
    <w:tblStylePr w:type="firstCol">
      <w:rPr>
        <w:b/>
      </w:rPr>
      <w:tblPr/>
    </w:tblStylePr>
    <w:tblStylePr w:type="firstRow">
      <w:rPr>
        <w:b/>
        <w:sz w:val="22"/>
      </w:rPr>
      <w:tblPr/>
      <w:tcPr>
        <w:tcBorders>
          <w:top w:val="single" w:color="B2A1C6" w:themeColor="accent4" w:sz="4" w:space="0"/>
          <w:left w:val="single" w:color="B2A1C6" w:themeColor="accent4" w:sz="4" w:space="0"/>
          <w:bottom w:val="single" w:color="B2A1C6" w:themeColor="accent4" w:sz="4" w:space="0"/>
          <w:right w:val="single" w:color="B2A1C6" w:themeColor="accent4" w:sz="4" w:space="0"/>
        </w:tcBorders>
        <w:shd w:val="clear" w:color="B2A1C6" w:fill="B2A1C6" w:themeFill="accent4" w:themeFillTint="9a"/>
      </w:tcPr>
    </w:tblStylePr>
    <w:tblStylePr w:type="lastCol">
      <w:rPr>
        <w:b/>
      </w:rPr>
      <w:tblPr/>
    </w:tblStylePr>
    <w:tblStylePr w:type="lastRow">
      <w:rPr>
        <w:b/>
      </w:rPr>
      <w:tblPr/>
      <w:tcPr>
        <w:tcBorders>
          <w:top w:val="single" w:color="B2A1C6" w:themeColor="accent4" w:sz="4" w:space="0"/>
        </w:tcBorders>
      </w:tcPr>
    </w:tblStylePr>
  </w:style>
  <w:style w:type="table" w:customStyle="1" w:styleId="983">
    <w:name w:val="Grid Table 4 - Accent 5"/>
    <w:basedOn w:val="950"/>
    <w:uiPriority w:val="59"/>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CellMar>
        <w:left w:w="108" w:type="dxa"/>
        <w:top w:w="0" w:type="dxa"/>
        <w:right w:w="108" w:type="dxa"/>
        <w:bottom w:w="0" w:type="dxa"/>
      </w:tblCellMar>
    </w:tblPr>
    <w:tblStylePr w:type="band1Horz">
      <w:rPr>
        <w:sz w:val="22"/>
      </w:rPr>
      <w:tblPr/>
      <w:tcPr>
        <w:shd w:val="clear" w:color="DAEEF3" w:fill="DAEEF3" w:themeFill="accent5" w:themeFillTint="34"/>
      </w:tcPr>
    </w:tblStylePr>
    <w:tblStylePr w:type="band1Vert">
      <w:rPr>
        <w:sz w:val="22"/>
      </w:rPr>
      <w:tblPr/>
      <w:tcPr>
        <w:shd w:val="clear" w:color="DAEEF3" w:fill="DAEEF3" w:themeFill="accent5" w:themeFillTint="34"/>
      </w:tcPr>
    </w:tblStylePr>
    <w:tblStylePr w:type="firstCol">
      <w:rPr>
        <w:b/>
      </w:rPr>
      <w:tblPr/>
    </w:tblStylePr>
    <w:tblStylePr w:type="firstRow">
      <w:rPr>
        <w:b/>
        <w:sz w:val="22"/>
      </w:rPr>
      <w:tblPr/>
      <w:tcPr>
        <w:tcBorders>
          <w:top w:val="single" w:color="4BACC6" w:themeColor="accent5" w:sz="4" w:space="0"/>
          <w:left w:val="single" w:color="4BACC6" w:themeColor="accent5" w:sz="4" w:space="0"/>
          <w:bottom w:val="single" w:color="4BACC6" w:themeColor="accent5" w:sz="4" w:space="0"/>
          <w:right w:val="single" w:color="4BACC6" w:themeColor="accent5" w:sz="4" w:space="0"/>
        </w:tcBorders>
        <w:shd w:val="clear" w:color="4BACC6" w:fill="4BACC6" w:themeFill="accent5"/>
      </w:tcPr>
    </w:tblStylePr>
    <w:tblStylePr w:type="lastCol">
      <w:rPr>
        <w:b/>
      </w:rPr>
      <w:tblPr/>
    </w:tblStylePr>
    <w:tblStylePr w:type="lastRow">
      <w:rPr>
        <w:b/>
      </w:rPr>
      <w:tblPr/>
      <w:tcPr>
        <w:tcBorders>
          <w:top w:val="single" w:color="4BACC6" w:themeColor="accent5" w:sz="4" w:space="0"/>
        </w:tcBorders>
      </w:tcPr>
    </w:tblStylePr>
  </w:style>
  <w:style w:type="table" w:customStyle="1" w:styleId="984">
    <w:name w:val="Grid Table 4 - Accent 6"/>
    <w:basedOn w:val="950"/>
    <w:uiPriority w:val="59"/>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CellMar>
        <w:left w:w="108" w:type="dxa"/>
        <w:top w:w="0" w:type="dxa"/>
        <w:right w:w="108" w:type="dxa"/>
        <w:bottom w:w="0" w:type="dxa"/>
      </w:tblCellMar>
    </w:tblPr>
    <w:tblStylePr w:type="band1Horz">
      <w:rPr>
        <w:sz w:val="22"/>
      </w:rPr>
      <w:tblPr/>
      <w:tcPr>
        <w:shd w:val="clear" w:color="FDE9D8" w:fill="FDE9D8" w:themeFill="accent6" w:themeFillTint="34"/>
      </w:tcPr>
    </w:tblStylePr>
    <w:tblStylePr w:type="band1Vert">
      <w:rPr>
        <w:sz w:val="22"/>
      </w:rPr>
      <w:tblPr/>
      <w:tcPr>
        <w:shd w:val="clear" w:color="FDE9D8" w:fill="FDE9D8" w:themeFill="accent6" w:themeFillTint="34"/>
      </w:tcPr>
    </w:tblStylePr>
    <w:tblStylePr w:type="firstCol">
      <w:rPr>
        <w:b/>
      </w:rPr>
      <w:tblPr/>
    </w:tblStylePr>
    <w:tblStylePr w:type="firstRow">
      <w:rPr>
        <w:b/>
        <w:sz w:val="22"/>
      </w:rPr>
      <w:tblPr/>
      <w:tcPr>
        <w:tcBorders>
          <w:top w:val="single" w:color="F79646" w:themeColor="accent6" w:sz="4" w:space="0"/>
          <w:left w:val="single" w:color="F79646" w:themeColor="accent6" w:sz="4" w:space="0"/>
          <w:bottom w:val="single" w:color="F79646" w:themeColor="accent6" w:sz="4" w:space="0"/>
          <w:right w:val="single" w:color="F79646" w:themeColor="accent6" w:sz="4" w:space="0"/>
        </w:tcBorders>
        <w:shd w:val="clear" w:color="F79646" w:fill="F79646" w:themeFill="accent6"/>
      </w:tcPr>
    </w:tblStylePr>
    <w:tblStylePr w:type="lastCol">
      <w:rPr>
        <w:b/>
      </w:rPr>
      <w:tblPr/>
    </w:tblStylePr>
    <w:tblStylePr w:type="lastRow">
      <w:rPr>
        <w:b/>
      </w:rPr>
      <w:tblPr/>
      <w:tcPr>
        <w:tcBorders>
          <w:top w:val="single" w:color="F79646" w:themeColor="accent6" w:sz="4" w:space="0"/>
        </w:tcBorders>
      </w:tcPr>
    </w:tblStylePr>
  </w:style>
  <w:style w:type="table" w:customStyle="1" w:styleId="985">
    <w:name w:val="Grid Table 5 Dark"/>
    <w:basedOn w:val="950"/>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left w:w="108" w:type="dxa"/>
        <w:top w:w="0" w:type="dxa"/>
        <w:right w:w="108" w:type="dxa"/>
        <w:bottom w:w="0" w:type="dxa"/>
      </w:tblCellMar>
    </w:tblPr>
    <w:tblStylePr w:type="band1Horz">
      <w:tblPr/>
      <w:tcPr>
        <w:shd w:val="clear" w:color="8A8A8A" w:fill="8A8A8A" w:themeFill="text1" w:themeFillTint="75"/>
      </w:tcPr>
    </w:tblStylePr>
    <w:tblStylePr w:type="band1Vert">
      <w:tblPr/>
      <w:tcPr>
        <w:shd w:val="clear" w:color="8A8A8A" w:fill="8A8A8A" w:themeFill="text1" w:themeFillTint="75"/>
      </w:tcPr>
    </w:tblStylePr>
    <w:tblStylePr w:type="firstCol">
      <w:rPr>
        <w:b/>
        <w:sz w:val="22"/>
      </w:rPr>
      <w:tblPr/>
      <w:tcPr>
        <w:shd w:val="clear" w:color="000000" w:fill="000000" w:themeFill="text1"/>
      </w:tcPr>
    </w:tblStylePr>
    <w:tblStylePr w:type="firstRow">
      <w:rPr>
        <w:b/>
        <w:sz w:val="22"/>
      </w:rPr>
      <w:tblPr/>
      <w:tcPr>
        <w:shd w:val="clear" w:color="000000" w:fill="000000" w:themeFill="text1"/>
      </w:tcPr>
    </w:tblStylePr>
    <w:tblStylePr w:type="lastCol">
      <w:rPr>
        <w:b/>
        <w:sz w:val="22"/>
      </w:rPr>
      <w:tblPr/>
      <w:tcPr>
        <w:shd w:val="clear" w:color="000000" w:fill="000000" w:themeFill="text1"/>
      </w:tcPr>
    </w:tblStylePr>
    <w:tblStylePr w:type="lastRow">
      <w:rPr>
        <w:b/>
        <w:sz w:val="22"/>
      </w:rPr>
      <w:tblPr/>
      <w:tcPr>
        <w:tcBorders>
          <w:top w:val="single" w:color="FFFFFF" w:themeColor="light1" w:sz="4" w:space="0"/>
        </w:tcBorders>
        <w:shd w:val="clear" w:color="000000" w:fill="000000" w:themeFill="text1"/>
      </w:tcPr>
    </w:tblStylePr>
  </w:style>
  <w:style w:type="table" w:customStyle="1" w:styleId="986">
    <w:name w:val="Grid Table 5 Dark- Accent 1"/>
    <w:basedOn w:val="950"/>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left w:w="108" w:type="dxa"/>
        <w:top w:w="0" w:type="dxa"/>
        <w:right w:w="108" w:type="dxa"/>
        <w:bottom w:w="0" w:type="dxa"/>
      </w:tblCellMar>
    </w:tblPr>
    <w:tblStylePr w:type="band1Horz">
      <w:tblPr/>
      <w:tcPr>
        <w:shd w:val="clear" w:color="AEC4E0" w:fill="AEC4E0" w:themeFill="accent1" w:themeFillTint="75"/>
      </w:tcPr>
    </w:tblStylePr>
    <w:tblStylePr w:type="band1Vert">
      <w:tblPr/>
      <w:tcPr>
        <w:shd w:val="clear" w:color="AEC4E0" w:fill="AEC4E0" w:themeFill="accent1" w:themeFillTint="75"/>
      </w:tcPr>
    </w:tblStylePr>
    <w:tblStylePr w:type="firstCol">
      <w:rPr>
        <w:b/>
        <w:sz w:val="22"/>
      </w:rPr>
      <w:tblPr/>
      <w:tcPr>
        <w:shd w:val="clear" w:color="4F81BD" w:fill="4F81BD" w:themeFill="accent1"/>
      </w:tcPr>
    </w:tblStylePr>
    <w:tblStylePr w:type="firstRow">
      <w:rPr>
        <w:b/>
        <w:sz w:val="22"/>
      </w:rPr>
      <w:tblPr/>
      <w:tcPr>
        <w:shd w:val="clear" w:color="4F81BD" w:fill="4F81BD" w:themeFill="accent1"/>
      </w:tcPr>
    </w:tblStylePr>
    <w:tblStylePr w:type="lastCol">
      <w:rPr>
        <w:b/>
        <w:sz w:val="22"/>
      </w:rPr>
      <w:tblPr/>
      <w:tcPr>
        <w:shd w:val="clear" w:color="4F81BD" w:fill="4F81BD" w:themeFill="accent1"/>
      </w:tcPr>
    </w:tblStylePr>
    <w:tblStylePr w:type="lastRow">
      <w:rPr>
        <w:b/>
        <w:sz w:val="22"/>
      </w:rPr>
      <w:tblPr/>
      <w:tcPr>
        <w:tcBorders>
          <w:top w:val="single" w:color="FFFFFF" w:themeColor="light1" w:sz="4" w:space="0"/>
        </w:tcBorders>
        <w:shd w:val="clear" w:color="4F81BD" w:fill="4F81BD" w:themeFill="accent1"/>
      </w:tcPr>
    </w:tblStylePr>
  </w:style>
  <w:style w:type="table" w:customStyle="1" w:styleId="987">
    <w:name w:val="Grid Table 5 Dark - Accent 2"/>
    <w:basedOn w:val="950"/>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left w:w="108" w:type="dxa"/>
        <w:top w:w="0" w:type="dxa"/>
        <w:right w:w="108" w:type="dxa"/>
        <w:bottom w:w="0" w:type="dxa"/>
      </w:tblCellMar>
    </w:tblPr>
    <w:tblStylePr w:type="band1Horz">
      <w:tblPr/>
      <w:tcPr>
        <w:shd w:val="clear" w:color="E2AEAD" w:fill="E2AEAD" w:themeFill="accent2" w:themeFillTint="75"/>
      </w:tcPr>
    </w:tblStylePr>
    <w:tblStylePr w:type="band1Vert">
      <w:tblPr/>
      <w:tcPr>
        <w:shd w:val="clear" w:color="E2AEAD" w:fill="E2AEAD" w:themeFill="accent2" w:themeFillTint="75"/>
      </w:tcPr>
    </w:tblStylePr>
    <w:tblStylePr w:type="firstCol">
      <w:rPr>
        <w:b/>
        <w:sz w:val="22"/>
      </w:rPr>
      <w:tblPr/>
      <w:tcPr>
        <w:shd w:val="clear" w:color="C0504D" w:fill="C0504D" w:themeFill="accent2"/>
      </w:tcPr>
    </w:tblStylePr>
    <w:tblStylePr w:type="firstRow">
      <w:rPr>
        <w:b/>
        <w:sz w:val="22"/>
      </w:rPr>
      <w:tblPr/>
      <w:tcPr>
        <w:shd w:val="clear" w:color="C0504D" w:fill="C0504D" w:themeFill="accent2"/>
      </w:tcPr>
    </w:tblStylePr>
    <w:tblStylePr w:type="lastCol">
      <w:rPr>
        <w:b/>
        <w:sz w:val="22"/>
      </w:rPr>
      <w:tblPr/>
      <w:tcPr>
        <w:shd w:val="clear" w:color="C0504D" w:fill="C0504D" w:themeFill="accent2"/>
      </w:tcPr>
    </w:tblStylePr>
    <w:tblStylePr w:type="lastRow">
      <w:rPr>
        <w:b/>
        <w:sz w:val="22"/>
      </w:rPr>
      <w:tblPr/>
      <w:tcPr>
        <w:tcBorders>
          <w:top w:val="single" w:color="FFFFFF" w:themeColor="light1" w:sz="4" w:space="0"/>
        </w:tcBorders>
        <w:shd w:val="clear" w:color="C0504D" w:fill="C0504D" w:themeFill="accent2"/>
      </w:tcPr>
    </w:tblStylePr>
  </w:style>
  <w:style w:type="table" w:customStyle="1" w:styleId="988">
    <w:name w:val="Grid Table 5 Dark - Accent 3"/>
    <w:basedOn w:val="950"/>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left w:w="108" w:type="dxa"/>
        <w:top w:w="0" w:type="dxa"/>
        <w:right w:w="108" w:type="dxa"/>
        <w:bottom w:w="0" w:type="dxa"/>
      </w:tblCellMar>
    </w:tblPr>
    <w:tblStylePr w:type="band1Horz">
      <w:tblPr/>
      <w:tcPr>
        <w:shd w:val="clear" w:color="D0DFB2" w:fill="D0DFB2" w:themeFill="accent3" w:themeFillTint="75"/>
      </w:tcPr>
    </w:tblStylePr>
    <w:tblStylePr w:type="band1Vert">
      <w:tblPr/>
      <w:tcPr>
        <w:shd w:val="clear" w:color="D0DFB2" w:fill="D0DFB2" w:themeFill="accent3" w:themeFillTint="75"/>
      </w:tcPr>
    </w:tblStylePr>
    <w:tblStylePr w:type="firstCol">
      <w:rPr>
        <w:b/>
        <w:sz w:val="22"/>
      </w:rPr>
      <w:tblPr/>
      <w:tcPr>
        <w:shd w:val="clear" w:color="9BBB59" w:fill="9BBB59" w:themeFill="accent3"/>
      </w:tcPr>
    </w:tblStylePr>
    <w:tblStylePr w:type="firstRow">
      <w:rPr>
        <w:b/>
        <w:sz w:val="22"/>
      </w:rPr>
      <w:tblPr/>
      <w:tcPr>
        <w:shd w:val="clear" w:color="9BBB59" w:fill="9BBB59" w:themeFill="accent3"/>
      </w:tcPr>
    </w:tblStylePr>
    <w:tblStylePr w:type="lastCol">
      <w:rPr>
        <w:b/>
        <w:sz w:val="22"/>
      </w:rPr>
      <w:tblPr/>
      <w:tcPr>
        <w:shd w:val="clear" w:color="9BBB59" w:fill="9BBB59" w:themeFill="accent3"/>
      </w:tcPr>
    </w:tblStylePr>
    <w:tblStylePr w:type="lastRow">
      <w:rPr>
        <w:b/>
        <w:sz w:val="22"/>
      </w:rPr>
      <w:tblPr/>
      <w:tcPr>
        <w:tcBorders>
          <w:top w:val="single" w:color="FFFFFF" w:themeColor="light1" w:sz="4" w:space="0"/>
        </w:tcBorders>
        <w:shd w:val="clear" w:color="9BBB59" w:fill="9BBB59" w:themeFill="accent3"/>
      </w:tcPr>
    </w:tblStylePr>
  </w:style>
  <w:style w:type="table" w:customStyle="1" w:styleId="989">
    <w:name w:val="Grid Table 5 Dark- Accent 4"/>
    <w:basedOn w:val="950"/>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left w:w="108" w:type="dxa"/>
        <w:top w:w="0" w:type="dxa"/>
        <w:right w:w="108" w:type="dxa"/>
        <w:bottom w:w="0" w:type="dxa"/>
      </w:tblCellMar>
    </w:tblPr>
    <w:tblStylePr w:type="band1Horz">
      <w:tblPr/>
      <w:tcPr>
        <w:shd w:val="clear" w:color="C4B7D4" w:fill="C4B7D4" w:themeFill="accent4" w:themeFillTint="75"/>
      </w:tcPr>
    </w:tblStylePr>
    <w:tblStylePr w:type="band1Vert">
      <w:tblPr/>
      <w:tcPr>
        <w:shd w:val="clear" w:color="C4B7D4" w:fill="C4B7D4" w:themeFill="accent4" w:themeFillTint="75"/>
      </w:tcPr>
    </w:tblStylePr>
    <w:tblStylePr w:type="firstCol">
      <w:rPr>
        <w:b/>
        <w:sz w:val="22"/>
      </w:rPr>
      <w:tblPr/>
      <w:tcPr>
        <w:shd w:val="clear" w:color="8064A2" w:fill="8064A2" w:themeFill="accent4"/>
      </w:tcPr>
    </w:tblStylePr>
    <w:tblStylePr w:type="firstRow">
      <w:rPr>
        <w:b/>
        <w:sz w:val="22"/>
      </w:rPr>
      <w:tblPr/>
      <w:tcPr>
        <w:shd w:val="clear" w:color="8064A2" w:fill="8064A2" w:themeFill="accent4"/>
      </w:tcPr>
    </w:tblStylePr>
    <w:tblStylePr w:type="lastCol">
      <w:rPr>
        <w:b/>
        <w:sz w:val="22"/>
      </w:rPr>
      <w:tblPr/>
      <w:tcPr>
        <w:shd w:val="clear" w:color="8064A2" w:fill="8064A2" w:themeFill="accent4"/>
      </w:tcPr>
    </w:tblStylePr>
    <w:tblStylePr w:type="lastRow">
      <w:rPr>
        <w:b/>
        <w:sz w:val="22"/>
      </w:rPr>
      <w:tblPr/>
      <w:tcPr>
        <w:tcBorders>
          <w:top w:val="single" w:color="FFFFFF" w:themeColor="light1" w:sz="4" w:space="0"/>
        </w:tcBorders>
        <w:shd w:val="clear" w:color="8064A2" w:fill="8064A2" w:themeFill="accent4"/>
      </w:tcPr>
    </w:tblStylePr>
  </w:style>
  <w:style w:type="table" w:customStyle="1" w:styleId="990">
    <w:name w:val="Grid Table 5 Dark - Accent 5"/>
    <w:basedOn w:val="950"/>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left w:w="108" w:type="dxa"/>
        <w:top w:w="0" w:type="dxa"/>
        <w:right w:w="108" w:type="dxa"/>
        <w:bottom w:w="0" w:type="dxa"/>
      </w:tblCellMar>
    </w:tblPr>
    <w:tblStylePr w:type="band1Horz">
      <w:tblPr/>
      <w:tcPr>
        <w:shd w:val="clear" w:color="ACD8E4" w:fill="ACD8E4" w:themeFill="accent5" w:themeFillTint="75"/>
      </w:tcPr>
    </w:tblStylePr>
    <w:tblStylePr w:type="band1Vert">
      <w:tblPr/>
      <w:tcPr>
        <w:shd w:val="clear" w:color="ACD8E4" w:fill="ACD8E4" w:themeFill="accent5" w:themeFillTint="75"/>
      </w:tcPr>
    </w:tblStylePr>
    <w:tblStylePr w:type="firstCol">
      <w:rPr>
        <w:b/>
        <w:sz w:val="22"/>
      </w:rPr>
      <w:tblPr/>
      <w:tcPr>
        <w:shd w:val="clear" w:color="4BACC6" w:fill="4BACC6" w:themeFill="accent5"/>
      </w:tcPr>
    </w:tblStylePr>
    <w:tblStylePr w:type="firstRow">
      <w:rPr>
        <w:b/>
        <w:sz w:val="22"/>
      </w:rPr>
      <w:tblPr/>
      <w:tcPr>
        <w:shd w:val="clear" w:color="4BACC6" w:fill="4BACC6" w:themeFill="accent5"/>
      </w:tcPr>
    </w:tblStylePr>
    <w:tblStylePr w:type="lastCol">
      <w:rPr>
        <w:b/>
        <w:sz w:val="22"/>
      </w:rPr>
      <w:tblPr/>
      <w:tcPr>
        <w:shd w:val="clear" w:color="4BACC6" w:fill="4BACC6" w:themeFill="accent5"/>
      </w:tcPr>
    </w:tblStylePr>
    <w:tblStylePr w:type="lastRow">
      <w:rPr>
        <w:b/>
        <w:sz w:val="22"/>
      </w:rPr>
      <w:tblPr/>
      <w:tcPr>
        <w:tcBorders>
          <w:top w:val="single" w:color="FFFFFF" w:themeColor="light1" w:sz="4" w:space="0"/>
        </w:tcBorders>
        <w:shd w:val="clear" w:color="4BACC6" w:fill="4BACC6" w:themeFill="accent5"/>
      </w:tcPr>
    </w:tblStylePr>
  </w:style>
  <w:style w:type="table" w:customStyle="1" w:styleId="991">
    <w:name w:val="Grid Table 5 Dark - Accent 6"/>
    <w:basedOn w:val="950"/>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left w:w="108" w:type="dxa"/>
        <w:top w:w="0" w:type="dxa"/>
        <w:right w:w="108" w:type="dxa"/>
        <w:bottom w:w="0" w:type="dxa"/>
      </w:tblCellMar>
    </w:tblPr>
    <w:tblStylePr w:type="band1Horz">
      <w:tblPr/>
      <w:tcPr>
        <w:shd w:val="clear" w:color="FBCEAA" w:fill="FBCEAA" w:themeFill="accent6" w:themeFillTint="75"/>
      </w:tcPr>
    </w:tblStylePr>
    <w:tblStylePr w:type="band1Vert">
      <w:tblPr/>
      <w:tcPr>
        <w:shd w:val="clear" w:color="FBCEAA" w:fill="FBCEAA" w:themeFill="accent6" w:themeFillTint="75"/>
      </w:tcPr>
    </w:tblStylePr>
    <w:tblStylePr w:type="firstCol">
      <w:rPr>
        <w:b/>
        <w:sz w:val="22"/>
      </w:rPr>
      <w:tblPr/>
      <w:tcPr>
        <w:shd w:val="clear" w:color="F79646" w:fill="F79646" w:themeFill="accent6"/>
      </w:tcPr>
    </w:tblStylePr>
    <w:tblStylePr w:type="firstRow">
      <w:rPr>
        <w:b/>
        <w:sz w:val="22"/>
      </w:rPr>
      <w:tblPr/>
      <w:tcPr>
        <w:shd w:val="clear" w:color="F79646" w:fill="F79646" w:themeFill="accent6"/>
      </w:tcPr>
    </w:tblStylePr>
    <w:tblStylePr w:type="lastCol">
      <w:rPr>
        <w:b/>
        <w:sz w:val="22"/>
      </w:rPr>
      <w:tblPr/>
      <w:tcPr>
        <w:shd w:val="clear" w:color="F79646" w:fill="F79646" w:themeFill="accent6"/>
      </w:tcPr>
    </w:tblStylePr>
    <w:tblStylePr w:type="lastRow">
      <w:rPr>
        <w:b/>
        <w:sz w:val="22"/>
      </w:rPr>
      <w:tblPr/>
      <w:tcPr>
        <w:tcBorders>
          <w:top w:val="single" w:color="FFFFFF" w:themeColor="light1" w:sz="4" w:space="0"/>
        </w:tcBorders>
        <w:shd w:val="clear" w:color="F79646" w:fill="F79646" w:themeFill="accent6"/>
      </w:tcPr>
    </w:tblStylePr>
  </w:style>
  <w:style w:type="table" w:customStyle="1" w:styleId="992">
    <w:name w:val="Grid Table 6 Colorful"/>
    <w:basedOn w:val="950"/>
    <w:uiPriority w:val="99"/>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108" w:type="dxa"/>
        <w:top w:w="0" w:type="dxa"/>
        <w:right w:w="108" w:type="dxa"/>
        <w:bottom w:w="0" w:type="dxa"/>
      </w:tblCellMar>
    </w:tblPr>
    <w:tblStylePr w:type="band1Horz">
      <w:rPr>
        <w:color w:themeColor="text1" w:themeTint="80" w:themeShade="95"/>
        <w:sz w:val="22"/>
      </w:rPr>
      <w:tblPr/>
      <w:tcPr>
        <w:shd w:val="clear" w:color="CBCBCB" w:fill="CBCBCB" w:themeFill="text1" w:themeFillTint="34"/>
      </w:tcPr>
    </w:tblStylePr>
    <w:tblStylePr w:type="band1Vert">
      <w:tblPr/>
      <w:tcPr>
        <w:shd w:val="clear" w:color="CBCBCB" w:fill="CBCBCB" w:themeFill="text1" w:themeFillTint="34"/>
      </w:tcPr>
    </w:tblStylePr>
    <w:tblStylePr w:type="band2Horz">
      <w:rPr>
        <w:color w:themeColor="text1" w:themeTint="80" w:themeShade="95"/>
        <w:sz w:val="22"/>
      </w:rPr>
      <w:tblPr/>
    </w:tblStylePr>
    <w:tblStylePr w:type="firstCol">
      <w:rPr>
        <w:b/>
        <w:color w:themeColor="text1" w:themeTint="80" w:themeShade="95"/>
      </w:rPr>
      <w:tblPr/>
    </w:tblStylePr>
    <w:tblStylePr w:type="firstRow">
      <w:rPr>
        <w:b/>
        <w:color w:themeColor="text1" w:themeTint="80" w:themeShade="95"/>
      </w:rPr>
      <w:tblPr/>
      <w:tcPr>
        <w:tcBorders>
          <w:bottom w:val="single" w:color="7F7F7F" w:themeColor="text1" w:sz="12" w:space="0"/>
        </w:tcBorders>
      </w:tcPr>
    </w:tblStylePr>
    <w:tblStylePr w:type="lastCol">
      <w:rPr>
        <w:b/>
        <w:color w:themeColor="text1" w:themeTint="80" w:themeShade="95"/>
      </w:rPr>
      <w:tblPr/>
    </w:tblStylePr>
    <w:tblStylePr w:type="lastRow">
      <w:rPr>
        <w:b/>
        <w:color w:themeColor="text1" w:themeTint="80" w:themeShade="95"/>
      </w:rPr>
      <w:tblPr/>
    </w:tblStylePr>
  </w:style>
  <w:style w:type="table" w:customStyle="1" w:styleId="993">
    <w:name w:val="Grid Table 6 Colorful - Accent 1"/>
    <w:basedOn w:val="950"/>
    <w:uiPriority w:val="99"/>
    <w:tblPr>
      <w:tblStyleRowBandSize w:val="1"/>
      <w:tblStyleColBandSize w:val="1"/>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CellMar>
        <w:left w:w="108" w:type="dxa"/>
        <w:top w:w="0" w:type="dxa"/>
        <w:right w:w="108" w:type="dxa"/>
        <w:bottom w:w="0" w:type="dxa"/>
      </w:tblCellMar>
    </w:tblPr>
    <w:tblStylePr w:type="band1Horz">
      <w:rPr>
        <w:color w:themeColor="accent1" w:themeTint="80" w:themeShade="95"/>
        <w:sz w:val="22"/>
      </w:rPr>
      <w:tblPr/>
      <w:tcPr>
        <w:shd w:val="clear" w:color="DAE5F1" w:fill="DAE5F1" w:themeFill="accent1" w:themeFillTint="34"/>
      </w:tcPr>
    </w:tblStylePr>
    <w:tblStylePr w:type="band1Vert">
      <w:tblPr/>
      <w:tcPr>
        <w:shd w:val="clear" w:color="DAE5F1" w:fill="DAE5F1" w:themeFill="accent1" w:themeFillTint="34"/>
      </w:tcPr>
    </w:tblStylePr>
    <w:tblStylePr w:type="band2Horz">
      <w:rPr>
        <w:color w:themeColor="accent1" w:themeTint="80" w:themeShade="95"/>
        <w:sz w:val="22"/>
      </w:rPr>
      <w:tblPr/>
    </w:tblStylePr>
    <w:tblStylePr w:type="firstCol">
      <w:rPr>
        <w:b/>
        <w:color w:themeColor="accent1" w:themeTint="80" w:themeShade="95"/>
      </w:rPr>
      <w:tblPr/>
    </w:tblStylePr>
    <w:tblStylePr w:type="firstRow">
      <w:rPr>
        <w:b/>
        <w:color w:themeColor="accent1" w:themeTint="80" w:themeShade="95"/>
      </w:rPr>
      <w:tblPr/>
      <w:tcPr>
        <w:tcBorders>
          <w:bottom w:val="single" w:color="A6BFDD" w:themeColor="accent1" w:sz="12" w:space="0"/>
        </w:tcBorders>
      </w:tcPr>
    </w:tblStylePr>
    <w:tblStylePr w:type="lastCol">
      <w:rPr>
        <w:b/>
        <w:color w:themeColor="accent1" w:themeTint="80" w:themeShade="95"/>
      </w:rPr>
      <w:tblPr/>
    </w:tblStylePr>
    <w:tblStylePr w:type="lastRow">
      <w:rPr>
        <w:b/>
        <w:color w:themeColor="accent1" w:themeTint="80" w:themeShade="95"/>
      </w:rPr>
      <w:tblPr/>
    </w:tblStylePr>
  </w:style>
  <w:style w:type="table" w:customStyle="1" w:styleId="994">
    <w:name w:val="Grid Table 6 Colorful - Accent 2"/>
    <w:basedOn w:val="950"/>
    <w:uiPriority w:val="99"/>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CellMar>
        <w:left w:w="108" w:type="dxa"/>
        <w:top w:w="0" w:type="dxa"/>
        <w:right w:w="108" w:type="dxa"/>
        <w:bottom w:w="0" w:type="dxa"/>
      </w:tblCellMar>
    </w:tblPr>
    <w:tblStylePr w:type="band1Horz">
      <w:rPr>
        <w:color w:themeColor="accent2" w:themeTint="97" w:themeShade="95"/>
        <w:sz w:val="22"/>
      </w:rPr>
      <w:tblPr/>
      <w:tcPr>
        <w:shd w:val="clear" w:color="F2DCDC" w:fill="F2DCDC" w:themeFill="accent2" w:themeFillTint="32"/>
      </w:tcPr>
    </w:tblStylePr>
    <w:tblStylePr w:type="band1Vert">
      <w:tblPr/>
      <w:tcPr>
        <w:shd w:val="clear" w:color="F2DCDC" w:fill="F2DCDC" w:themeFill="accent2" w:themeFillTint="32"/>
      </w:tcPr>
    </w:tblStylePr>
    <w:tblStylePr w:type="band2Horz">
      <w:rPr>
        <w:color w:themeColor="accent2" w:themeTint="97" w:themeShade="95"/>
        <w:sz w:val="22"/>
      </w:rPr>
      <w:tblPr/>
    </w:tblStylePr>
    <w:tblStylePr w:type="firstCol">
      <w:rPr>
        <w:b/>
        <w:color w:themeColor="accent2" w:themeTint="97" w:themeShade="95"/>
      </w:rPr>
      <w:tblPr/>
    </w:tblStylePr>
    <w:tblStylePr w:type="firstRow">
      <w:rPr>
        <w:b/>
        <w:color w:themeColor="accent2" w:themeTint="97" w:themeShade="95"/>
      </w:rPr>
      <w:tblPr/>
      <w:tcPr>
        <w:tcBorders>
          <w:bottom w:val="single" w:color="D99695" w:themeColor="accent2" w:sz="12" w:space="0"/>
        </w:tcBorders>
      </w:tcPr>
    </w:tblStylePr>
    <w:tblStylePr w:type="lastCol">
      <w:rPr>
        <w:b/>
        <w:color w:themeColor="accent2" w:themeTint="97" w:themeShade="95"/>
      </w:rPr>
      <w:tblPr/>
    </w:tblStylePr>
    <w:tblStylePr w:type="lastRow">
      <w:rPr>
        <w:b/>
        <w:color w:themeColor="accent2" w:themeTint="97" w:themeShade="95"/>
      </w:rPr>
      <w:tblPr/>
    </w:tblStylePr>
  </w:style>
  <w:style w:type="table" w:customStyle="1" w:styleId="995">
    <w:name w:val="Grid Table 6 Colorful - Accent 3"/>
    <w:basedOn w:val="950"/>
    <w:uiPriority w:val="99"/>
    <w:tblPr>
      <w:tblStyleRowBandSize w:val="1"/>
      <w:tblStyleColBandSize w:val="1"/>
      <w:tbl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CellMar>
        <w:left w:w="108" w:type="dxa"/>
        <w:top w:w="0" w:type="dxa"/>
        <w:right w:w="108" w:type="dxa"/>
        <w:bottom w:w="0" w:type="dxa"/>
      </w:tblCellMar>
    </w:tblPr>
    <w:tblStylePr w:type="band1Horz">
      <w:rPr>
        <w:color w:themeColor="accent3" w:themeTint="fe" w:themeShade="95"/>
        <w:sz w:val="22"/>
      </w:rPr>
      <w:tblPr/>
      <w:tcPr>
        <w:shd w:val="clear" w:color="EAF1DC" w:fill="EAF1DC" w:themeFill="accent3" w:themeFillTint="34"/>
      </w:tcPr>
    </w:tblStylePr>
    <w:tblStylePr w:type="band1Vert">
      <w:tblPr/>
      <w:tcPr>
        <w:shd w:val="clear" w:color="EAF1DC" w:fill="EAF1DC" w:themeFill="accent3" w:themeFillTint="34"/>
      </w:tcPr>
    </w:tblStylePr>
    <w:tblStylePr w:type="band2Horz">
      <w:rPr>
        <w:color w:themeColor="accent3" w:themeTint="fe" w:themeShade="95"/>
        <w:sz w:val="22"/>
      </w:rPr>
      <w:tblPr/>
    </w:tblStylePr>
    <w:tblStylePr w:type="firstCol">
      <w:rPr>
        <w:b/>
        <w:color w:themeColor="accent3" w:themeTint="fe" w:themeShade="95"/>
      </w:rPr>
      <w:tblPr/>
    </w:tblStylePr>
    <w:tblStylePr w:type="firstRow">
      <w:rPr>
        <w:b/>
        <w:color w:themeColor="accent3" w:themeTint="fe" w:themeShade="95"/>
      </w:rPr>
      <w:tblPr/>
      <w:tcPr>
        <w:tcBorders>
          <w:bottom w:val="single" w:color="9ABB59" w:themeColor="accent3" w:sz="12" w:space="0"/>
        </w:tcBorders>
      </w:tcPr>
    </w:tblStylePr>
    <w:tblStylePr w:type="lastCol">
      <w:rPr>
        <w:b/>
        <w:color w:themeColor="accent3" w:themeTint="fe" w:themeShade="95"/>
      </w:rPr>
      <w:tblPr/>
    </w:tblStylePr>
    <w:tblStylePr w:type="lastRow">
      <w:rPr>
        <w:b/>
        <w:color w:themeColor="accent3" w:themeTint="fe" w:themeShade="95"/>
      </w:rPr>
      <w:tblPr/>
    </w:tblStylePr>
  </w:style>
  <w:style w:type="table" w:customStyle="1" w:styleId="996">
    <w:name w:val="Grid Table 6 Colorful - Accent 4"/>
    <w:basedOn w:val="950"/>
    <w:uiPriority w:val="99"/>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CellMar>
        <w:left w:w="108" w:type="dxa"/>
        <w:top w:w="0" w:type="dxa"/>
        <w:right w:w="108" w:type="dxa"/>
        <w:bottom w:w="0" w:type="dxa"/>
      </w:tblCellMar>
    </w:tblPr>
    <w:tblStylePr w:type="band1Horz">
      <w:rPr>
        <w:color w:themeColor="accent4" w:themeTint="9a" w:themeShade="95"/>
        <w:sz w:val="22"/>
      </w:rPr>
      <w:tblPr/>
      <w:tcPr>
        <w:shd w:val="clear" w:color="E5DFEC" w:fill="E5DFEC" w:themeFill="accent4" w:themeFillTint="34"/>
      </w:tcPr>
    </w:tblStylePr>
    <w:tblStylePr w:type="band1Vert">
      <w:tblPr/>
      <w:tcPr>
        <w:shd w:val="clear" w:color="E5DFEC" w:fill="E5DFEC" w:themeFill="accent4" w:themeFillTint="34"/>
      </w:tcPr>
    </w:tblStylePr>
    <w:tblStylePr w:type="band2Horz">
      <w:rPr>
        <w:color w:themeColor="accent4" w:themeTint="9a" w:themeShade="95"/>
        <w:sz w:val="22"/>
      </w:rPr>
      <w:tblPr/>
    </w:tblStylePr>
    <w:tblStylePr w:type="firstCol">
      <w:rPr>
        <w:b/>
        <w:color w:themeColor="accent4" w:themeTint="9a" w:themeShade="95"/>
      </w:rPr>
      <w:tblPr/>
    </w:tblStylePr>
    <w:tblStylePr w:type="firstRow">
      <w:rPr>
        <w:b/>
        <w:color w:themeColor="accent4" w:themeTint="9a" w:themeShade="95"/>
      </w:rPr>
      <w:tblPr/>
      <w:tcPr>
        <w:tcBorders>
          <w:bottom w:val="single" w:color="B2A1C6" w:themeColor="accent4" w:sz="12" w:space="0"/>
        </w:tcBorders>
      </w:tcPr>
    </w:tblStylePr>
    <w:tblStylePr w:type="lastCol">
      <w:rPr>
        <w:b/>
        <w:color w:themeColor="accent4" w:themeTint="9a" w:themeShade="95"/>
      </w:rPr>
      <w:tblPr/>
    </w:tblStylePr>
    <w:tblStylePr w:type="lastRow">
      <w:rPr>
        <w:b/>
        <w:color w:themeColor="accent4" w:themeTint="9a" w:themeShade="95"/>
      </w:rPr>
      <w:tblPr/>
    </w:tblStylePr>
  </w:style>
  <w:style w:type="table" w:customStyle="1" w:styleId="997">
    <w:name w:val="Grid Table 6 Colorful - Accent 5"/>
    <w:basedOn w:val="950"/>
    <w:uiPriority w:val="99"/>
    <w:tblPr>
      <w:tblStyleRowBandSize w:val="1"/>
      <w:tblStyleColBandSize w:val="1"/>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CellMar>
        <w:left w:w="108" w:type="dxa"/>
        <w:top w:w="0" w:type="dxa"/>
        <w:right w:w="108" w:type="dxa"/>
        <w:bottom w:w="0" w:type="dxa"/>
      </w:tblCellMar>
    </w:tblPr>
    <w:tblStylePr w:type="band1Horz">
      <w:rPr>
        <w:color w:themeColor="accent5" w:themeShade="95"/>
        <w:sz w:val="22"/>
      </w:rPr>
      <w:tblPr/>
      <w:tcPr>
        <w:shd w:val="clear" w:color="DAEEF3" w:fill="DAEEF3" w:themeFill="accent5" w:themeFillTint="34"/>
      </w:tcPr>
    </w:tblStylePr>
    <w:tblStylePr w:type="band1Vert">
      <w:tblPr/>
      <w:tcPr>
        <w:shd w:val="clear" w:color="DAEEF3" w:fill="DAEEF3" w:themeFill="accent5" w:themeFillTint="34"/>
      </w:tcPr>
    </w:tblStylePr>
    <w:tblStylePr w:type="band2Horz">
      <w:rPr>
        <w:color w:themeColor="accent5" w:themeShade="95"/>
        <w:sz w:val="22"/>
      </w:rPr>
      <w:tblPr/>
    </w:tblStylePr>
    <w:tblStylePr w:type="firstCol">
      <w:rPr>
        <w:b/>
        <w:color w:themeColor="accent5" w:themeShade="95"/>
      </w:rPr>
      <w:tblPr/>
    </w:tblStylePr>
    <w:tblStylePr w:type="firstRow">
      <w:rPr>
        <w:b/>
        <w:color w:themeColor="accent5" w:themeShade="95"/>
      </w:rPr>
      <w:tblPr/>
      <w:tcPr>
        <w:tcBorders>
          <w:bottom w:val="single" w:color="4BACC6" w:themeColor="accent5" w:sz="12" w:space="0"/>
        </w:tcBorders>
      </w:tcPr>
    </w:tblStylePr>
    <w:tblStylePr w:type="lastCol">
      <w:rPr>
        <w:b/>
        <w:color w:themeColor="accent5" w:themeShade="95"/>
      </w:rPr>
      <w:tblPr/>
    </w:tblStylePr>
    <w:tblStylePr w:type="lastRow">
      <w:rPr>
        <w:b/>
        <w:color w:themeColor="accent5" w:themeShade="95"/>
      </w:rPr>
      <w:tblPr/>
    </w:tblStylePr>
  </w:style>
  <w:style w:type="table" w:customStyle="1" w:styleId="998">
    <w:name w:val="Grid Table 6 Colorful - Accent 6"/>
    <w:basedOn w:val="950"/>
    <w:uiPriority w:val="99"/>
    <w:tblPr>
      <w:tblStyleRowBandSize w:val="1"/>
      <w:tblStyleColBandSize w:val="1"/>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CellMar>
        <w:left w:w="108" w:type="dxa"/>
        <w:top w:w="0" w:type="dxa"/>
        <w:right w:w="108" w:type="dxa"/>
        <w:bottom w:w="0" w:type="dxa"/>
      </w:tblCellMar>
    </w:tblPr>
    <w:tblStylePr w:type="band1Horz">
      <w:rPr>
        <w:color w:themeColor="accent5" w:themeShade="95"/>
        <w:sz w:val="22"/>
      </w:rPr>
      <w:tblPr/>
      <w:tcPr>
        <w:shd w:val="clear" w:color="FDE9D8" w:fill="FDE9D8" w:themeFill="accent6" w:themeFillTint="34"/>
      </w:tcPr>
    </w:tblStylePr>
    <w:tblStylePr w:type="band1Vert">
      <w:tblPr/>
      <w:tcPr>
        <w:shd w:val="clear" w:color="FDE9D8" w:fill="FDE9D8" w:themeFill="accent6" w:themeFillTint="34"/>
      </w:tcPr>
    </w:tblStylePr>
    <w:tblStylePr w:type="band2Horz">
      <w:rPr>
        <w:color w:themeColor="accent5" w:themeShade="95"/>
        <w:sz w:val="22"/>
      </w:rPr>
      <w:tblPr/>
    </w:tblStylePr>
    <w:tblStylePr w:type="firstCol">
      <w:rPr>
        <w:b/>
        <w:color w:themeColor="accent5" w:themeShade="95"/>
      </w:rPr>
      <w:tblPr/>
    </w:tblStylePr>
    <w:tblStylePr w:type="firstRow">
      <w:rPr>
        <w:b/>
        <w:color w:themeColor="accent5" w:themeShade="95"/>
      </w:rPr>
      <w:tblPr/>
      <w:tcPr>
        <w:tcBorders>
          <w:bottom w:val="single" w:color="F79646" w:themeColor="accent6" w:sz="12" w:space="0"/>
        </w:tcBorders>
      </w:tcPr>
    </w:tblStylePr>
    <w:tblStylePr w:type="lastCol">
      <w:rPr>
        <w:b/>
        <w:color w:themeColor="accent5" w:themeShade="95"/>
      </w:rPr>
      <w:tblPr/>
    </w:tblStylePr>
    <w:tblStylePr w:type="lastRow">
      <w:rPr>
        <w:b/>
        <w:color w:themeColor="accent5" w:themeShade="95"/>
      </w:rPr>
      <w:tblPr/>
    </w:tblStylePr>
  </w:style>
  <w:style w:type="table" w:customStyle="1" w:styleId="999">
    <w:name w:val="Grid Table 7 Colorful"/>
    <w:basedOn w:val="950"/>
    <w:uiPriority w:val="99"/>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108" w:type="dxa"/>
        <w:top w:w="0" w:type="dxa"/>
        <w:right w:w="108" w:type="dxa"/>
        <w:bottom w:w="0" w:type="dxa"/>
      </w:tblCellMar>
    </w:tblPr>
    <w:tblStylePr w:type="band1Horz">
      <w:rPr>
        <w:color w:themeColor="text1" w:themeTint="80" w:themeShade="95"/>
        <w:sz w:val="22"/>
      </w:rPr>
      <w:tblPr/>
      <w:tcPr>
        <w:shd w:val="clear" w:color="F2F2F2" w:fill="F2F2F2" w:themeFill="text1" w:themeFillTint="0"/>
      </w:tcPr>
    </w:tblStylePr>
    <w:tblStylePr w:type="band1Vert">
      <w:tblPr/>
      <w:tcPr>
        <w:shd w:val="clear" w:color="F2F2F2" w:fill="F2F2F2" w:themeFill="text1" w:themeFillTint="0"/>
      </w:tcPr>
    </w:tblStylePr>
    <w:tblStylePr w:type="band2Horz">
      <w:rPr>
        <w:color w:themeColor="text1" w:themeTint="80" w:themeShade="95"/>
        <w:sz w:val="22"/>
      </w:rPr>
      <w:tblPr/>
    </w:tblStylePr>
    <w:tblStylePr w:type="firstCol">
      <w:pPr>
        <w:jc w:val="right"/>
      </w:pPr>
      <w:rPr>
        <w:i/>
        <w:color w:themeColor="text1" w:themeTint="80" w:themeShade="95"/>
        <w:sz w:val="22"/>
      </w:rPr>
      <w:tblPr/>
      <w:tcPr>
        <w:tcBorders>
          <w:top w:val="none" w:color="000000" w:sz="4" w:space="0"/>
          <w:left w:val="none" w:color="000000" w:sz="4" w:space="0"/>
          <w:bottom w:val="none" w:color="000000" w:sz="4" w:space="0"/>
          <w:right w:val="single" w:color="7F7F7F" w:themeColor="text1" w:sz="4" w:space="0"/>
        </w:tcBorders>
        <w:shd w:val="clear" w:color="FFFFFF" w:fill="auto"/>
      </w:tcPr>
    </w:tblStylePr>
    <w:tblStylePr w:type="firstRow">
      <w:rPr>
        <w:b/>
        <w:color w:themeColor="text1" w:themeTint="80" w:themeShade="95"/>
        <w:sz w:val="22"/>
      </w:rPr>
      <w:tblPr/>
      <w:tcPr>
        <w:tcBorders>
          <w:top w:val="none" w:color="000000" w:sz="4" w:space="0"/>
          <w:left w:val="none" w:color="000000" w:sz="4" w:space="0"/>
          <w:bottom w:val="single" w:color="7F7F7F" w:themeColor="text1" w:sz="4" w:space="0"/>
          <w:right w:val="none" w:color="000000" w:sz="4" w:space="0"/>
        </w:tcBorders>
        <w:shd w:val="clear" w:color="FFFFFF" w:fill="FFFFFF" w:themeFill="light1"/>
      </w:tcPr>
    </w:tblStylePr>
    <w:tblStylePr w:type="lastCol">
      <w:rPr>
        <w:i/>
        <w:color w:themeColor="text1" w:themeTint="80" w:themeShade="95"/>
        <w:sz w:val="22"/>
      </w:rPr>
      <w:tblPr/>
      <w:tcPr>
        <w:tcBorders>
          <w:top w:val="none" w:color="000000" w:sz="4" w:space="0"/>
          <w:left w:val="single" w:color="7F7F7F" w:themeColor="text1" w:sz="4" w:space="0"/>
          <w:bottom w:val="none" w:color="000000" w:sz="4" w:space="0"/>
          <w:right w:val="none" w:color="000000" w:sz="4" w:space="0"/>
        </w:tcBorders>
        <w:shd w:val="clear" w:color="FFFFFF" w:fill="auto"/>
      </w:tcPr>
    </w:tblStylePr>
    <w:tblStylePr w:type="lastRow">
      <w:rPr>
        <w:b/>
        <w:color w:themeColor="text1" w:themeTint="80" w:themeShade="95"/>
        <w:sz w:val="22"/>
      </w:rPr>
      <w:tblPr/>
      <w:tcPr>
        <w:tcBorders>
          <w:top w:val="single" w:color="7F7F7F" w:themeColor="text1" w:sz="4" w:space="0"/>
          <w:left w:val="none" w:color="000000" w:sz="4" w:space="0"/>
          <w:bottom w:val="none" w:color="000000" w:sz="4" w:space="0"/>
          <w:right w:val="none" w:color="000000" w:sz="4" w:space="0"/>
        </w:tcBorders>
        <w:shd w:val="clear" w:color="FFFFFF" w:fill="FFFFFF" w:themeFill="light1"/>
      </w:tcPr>
    </w:tblStylePr>
  </w:style>
  <w:style w:type="table" w:customStyle="1" w:styleId="1000">
    <w:name w:val="Grid Table 7 Colorful - Accent 1"/>
    <w:basedOn w:val="950"/>
    <w:uiPriority w:val="99"/>
    <w:tblPr>
      <w:tblStyleRowBandSize w:val="1"/>
      <w:tblStyleColBandSize w:val="1"/>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CellMar>
        <w:left w:w="108" w:type="dxa"/>
        <w:top w:w="0" w:type="dxa"/>
        <w:right w:w="108" w:type="dxa"/>
        <w:bottom w:w="0" w:type="dxa"/>
      </w:tblCellMar>
    </w:tblPr>
    <w:tblStylePr w:type="band1Horz">
      <w:rPr>
        <w:color w:themeColor="accent1" w:themeTint="80" w:themeShade="95"/>
        <w:sz w:val="22"/>
      </w:rPr>
      <w:tblPr/>
      <w:tcPr>
        <w:shd w:val="clear" w:color="DAE5F1" w:fill="DAE5F1" w:themeFill="accent1" w:themeFillTint="34"/>
      </w:tcPr>
    </w:tblStylePr>
    <w:tblStylePr w:type="band1Vert">
      <w:tblPr/>
      <w:tcPr>
        <w:shd w:val="clear" w:color="DAE5F1" w:fill="DAE5F1" w:themeFill="accent1" w:themeFillTint="34"/>
      </w:tcPr>
    </w:tblStylePr>
    <w:tblStylePr w:type="band2Horz">
      <w:rPr>
        <w:color w:themeColor="accent1" w:themeTint="80" w:themeShade="95"/>
        <w:sz w:val="22"/>
      </w:rPr>
      <w:tblPr/>
    </w:tblStylePr>
    <w:tblStylePr w:type="firstCol">
      <w:pPr>
        <w:jc w:val="right"/>
      </w:pPr>
      <w:rPr>
        <w:i/>
        <w:color w:themeColor="accent1" w:themeTint="80" w:themeShade="95"/>
        <w:sz w:val="22"/>
      </w:rPr>
      <w:tblPr/>
      <w:tcPr>
        <w:tcBorders>
          <w:top w:val="none" w:color="000000" w:sz="4" w:space="0"/>
          <w:left w:val="none" w:color="000000" w:sz="4" w:space="0"/>
          <w:bottom w:val="none" w:color="000000" w:sz="4" w:space="0"/>
          <w:right w:val="single" w:color="A6BFDD" w:themeColor="accent1" w:sz="4" w:space="0"/>
        </w:tcBorders>
        <w:shd w:val="clear" w:color="FFFFFF" w:fill="auto"/>
      </w:tcPr>
    </w:tblStylePr>
    <w:tblStylePr w:type="firstRow">
      <w:rPr>
        <w:b/>
        <w:color w:themeColor="accent1" w:themeTint="80" w:themeShade="95"/>
        <w:sz w:val="22"/>
      </w:rPr>
      <w:tblPr/>
      <w:tcPr>
        <w:tcBorders>
          <w:top w:val="none" w:color="000000" w:sz="4" w:space="0"/>
          <w:left w:val="none" w:color="000000" w:sz="4" w:space="0"/>
          <w:bottom w:val="single" w:color="A6BFDD" w:themeColor="accent1" w:sz="4" w:space="0"/>
          <w:right w:val="none" w:color="000000" w:sz="4" w:space="0"/>
        </w:tcBorders>
        <w:shd w:val="clear" w:color="FFFFFF" w:fill="FFFFFF" w:themeFill="light1"/>
      </w:tcPr>
    </w:tblStylePr>
    <w:tblStylePr w:type="lastCol">
      <w:rPr>
        <w:i/>
        <w:color w:themeColor="accent1" w:themeTint="80" w:themeShade="95"/>
        <w:sz w:val="22"/>
      </w:rPr>
      <w:tblPr/>
      <w:tcPr>
        <w:tcBorders>
          <w:top w:val="none" w:color="000000" w:sz="4" w:space="0"/>
          <w:left w:val="single" w:color="A6BFDD" w:themeColor="accent1" w:sz="4" w:space="0"/>
          <w:bottom w:val="none" w:color="000000" w:sz="4" w:space="0"/>
          <w:right w:val="none" w:color="000000" w:sz="4" w:space="0"/>
        </w:tcBorders>
        <w:shd w:val="clear" w:color="FFFFFF" w:fill="auto"/>
      </w:tcPr>
    </w:tblStylePr>
    <w:tblStylePr w:type="lastRow">
      <w:rPr>
        <w:b/>
        <w:color w:themeColor="accent1" w:themeTint="80" w:themeShade="95"/>
        <w:sz w:val="22"/>
      </w:rPr>
      <w:tblPr/>
      <w:tcPr>
        <w:tcBorders>
          <w:top w:val="single" w:color="A6BFDD" w:themeColor="accent1" w:sz="4" w:space="0"/>
          <w:left w:val="none" w:color="000000" w:sz="4" w:space="0"/>
          <w:bottom w:val="none" w:color="000000" w:sz="4" w:space="0"/>
          <w:right w:val="none" w:color="000000" w:sz="4" w:space="0"/>
        </w:tcBorders>
        <w:shd w:val="clear" w:color="FFFFFF" w:fill="FFFFFF" w:themeFill="light1"/>
      </w:tcPr>
    </w:tblStylePr>
  </w:style>
  <w:style w:type="table" w:customStyle="1" w:styleId="1001">
    <w:name w:val="Grid Table 7 Colorful - Accent 2"/>
    <w:basedOn w:val="950"/>
    <w:uiPriority w:val="99"/>
    <w:tblPr>
      <w:tblStyleRowBandSize w:val="1"/>
      <w:tblStyleColBandSize w:val="1"/>
      <w:tblBorders>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CellMar>
        <w:left w:w="108" w:type="dxa"/>
        <w:top w:w="0" w:type="dxa"/>
        <w:right w:w="108" w:type="dxa"/>
        <w:bottom w:w="0" w:type="dxa"/>
      </w:tblCellMar>
    </w:tblPr>
    <w:tblStylePr w:type="band1Horz">
      <w:rPr>
        <w:color w:themeColor="accent2" w:themeTint="97" w:themeShade="95"/>
        <w:sz w:val="22"/>
      </w:rPr>
      <w:tblPr/>
      <w:tcPr>
        <w:shd w:val="clear" w:color="F2DCDC" w:fill="F2DCDC" w:themeFill="accent2" w:themeFillTint="32"/>
      </w:tcPr>
    </w:tblStylePr>
    <w:tblStylePr w:type="band1Vert">
      <w:tblPr/>
      <w:tcPr>
        <w:shd w:val="clear" w:color="F2DCDC" w:fill="F2DCDC" w:themeFill="accent2" w:themeFillTint="32"/>
      </w:tcPr>
    </w:tblStylePr>
    <w:tblStylePr w:type="band2Horz">
      <w:rPr>
        <w:color w:themeColor="accent2" w:themeTint="97" w:themeShade="95"/>
        <w:sz w:val="22"/>
      </w:rPr>
      <w:tblPr/>
    </w:tblStylePr>
    <w:tblStylePr w:type="firstCol">
      <w:pPr>
        <w:jc w:val="right"/>
      </w:pPr>
      <w:rPr>
        <w:i/>
        <w:color w:themeColor="accent2" w:themeTint="97" w:themeShade="95"/>
        <w:sz w:val="22"/>
      </w:rPr>
      <w:tblPr/>
      <w:tcPr>
        <w:tcBorders>
          <w:top w:val="none" w:color="000000" w:sz="4" w:space="0"/>
          <w:left w:val="none" w:color="000000" w:sz="4" w:space="0"/>
          <w:bottom w:val="none" w:color="000000" w:sz="4" w:space="0"/>
          <w:right w:val="single" w:color="D99695" w:themeColor="accent2" w:sz="4" w:space="0"/>
        </w:tcBorders>
        <w:shd w:val="clear" w:color="FFFFFF" w:fill="auto"/>
      </w:tcPr>
    </w:tblStylePr>
    <w:tblStylePr w:type="firstRow">
      <w:rPr>
        <w:b/>
        <w:color w:themeColor="accent2" w:themeTint="97" w:themeShade="95"/>
        <w:sz w:val="22"/>
      </w:rPr>
      <w:tblPr/>
      <w:tcPr>
        <w:tcBorders>
          <w:top w:val="none" w:color="000000" w:sz="4" w:space="0"/>
          <w:left w:val="none" w:color="000000" w:sz="4" w:space="0"/>
          <w:bottom w:val="single" w:color="D99695" w:themeColor="accent2" w:sz="4" w:space="0"/>
          <w:right w:val="none" w:color="000000" w:sz="4" w:space="0"/>
        </w:tcBorders>
        <w:shd w:val="clear" w:color="FFFFFF" w:fill="FFFFFF" w:themeFill="light1"/>
      </w:tcPr>
    </w:tblStylePr>
    <w:tblStylePr w:type="lastCol">
      <w:rPr>
        <w:i/>
        <w:color w:themeColor="accent2" w:themeTint="97" w:themeShade="95"/>
        <w:sz w:val="22"/>
      </w:rPr>
      <w:tblPr/>
      <w:tcPr>
        <w:tcBorders>
          <w:top w:val="none" w:color="000000" w:sz="4" w:space="0"/>
          <w:left w:val="single" w:color="D99695" w:themeColor="accent2" w:sz="4" w:space="0"/>
          <w:bottom w:val="none" w:color="000000" w:sz="4" w:space="0"/>
          <w:right w:val="none" w:color="000000" w:sz="4" w:space="0"/>
        </w:tcBorders>
        <w:shd w:val="clear" w:color="FFFFFF" w:fill="auto"/>
      </w:tcPr>
    </w:tblStylePr>
    <w:tblStylePr w:type="lastRow">
      <w:rPr>
        <w:b/>
        <w:color w:themeColor="accent2" w:themeTint="97" w:themeShade="95"/>
        <w:sz w:val="22"/>
      </w:rPr>
      <w:tblPr/>
      <w:tcPr>
        <w:tcBorders>
          <w:top w:val="single" w:color="D99695" w:themeColor="accent2" w:sz="4" w:space="0"/>
          <w:left w:val="none" w:color="000000" w:sz="4" w:space="0"/>
          <w:bottom w:val="none" w:color="000000" w:sz="4" w:space="0"/>
          <w:right w:val="none" w:color="000000" w:sz="4" w:space="0"/>
        </w:tcBorders>
        <w:shd w:val="clear" w:color="FFFFFF" w:fill="FFFFFF" w:themeFill="light1"/>
      </w:tcPr>
    </w:tblStylePr>
  </w:style>
  <w:style w:type="table" w:customStyle="1" w:styleId="1002">
    <w:name w:val="Grid Table 7 Colorful - Accent 3"/>
    <w:basedOn w:val="950"/>
    <w:uiPriority w:val="99"/>
    <w:tblPr>
      <w:tblStyleRowBandSize w:val="1"/>
      <w:tblStyleColBandSize w:val="1"/>
      <w:tblBorders>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CellMar>
        <w:left w:w="108" w:type="dxa"/>
        <w:top w:w="0" w:type="dxa"/>
        <w:right w:w="108" w:type="dxa"/>
        <w:bottom w:w="0" w:type="dxa"/>
      </w:tblCellMar>
    </w:tblPr>
    <w:tblStylePr w:type="band1Horz">
      <w:rPr>
        <w:color w:themeColor="accent3" w:themeTint="fe" w:themeShade="95"/>
        <w:sz w:val="22"/>
      </w:rPr>
      <w:tblPr/>
      <w:tcPr>
        <w:shd w:val="clear" w:color="EAF1DC" w:fill="EAF1DC" w:themeFill="accent3" w:themeFillTint="34"/>
      </w:tcPr>
    </w:tblStylePr>
    <w:tblStylePr w:type="band1Vert">
      <w:tblPr/>
      <w:tcPr>
        <w:shd w:val="clear" w:color="EAF1DC" w:fill="EAF1DC" w:themeFill="accent3" w:themeFillTint="34"/>
      </w:tcPr>
    </w:tblStylePr>
    <w:tblStylePr w:type="band2Horz">
      <w:rPr>
        <w:color w:themeColor="accent3" w:themeTint="fe" w:themeShade="95"/>
        <w:sz w:val="22"/>
      </w:rPr>
      <w:tblPr/>
    </w:tblStylePr>
    <w:tblStylePr w:type="firstCol">
      <w:pPr>
        <w:jc w:val="right"/>
      </w:pPr>
      <w:rPr>
        <w:i/>
        <w:color w:themeColor="accent3" w:themeTint="fe" w:themeShade="95"/>
        <w:sz w:val="22"/>
      </w:rPr>
      <w:tblPr/>
      <w:tcPr>
        <w:tcBorders>
          <w:top w:val="none" w:color="000000" w:sz="4" w:space="0"/>
          <w:left w:val="none" w:color="000000" w:sz="4" w:space="0"/>
          <w:bottom w:val="none" w:color="000000" w:sz="4" w:space="0"/>
          <w:right w:val="single" w:color="9ABB59" w:themeColor="accent3" w:sz="4" w:space="0"/>
        </w:tcBorders>
        <w:shd w:val="clear" w:color="FFFFFF" w:fill="auto"/>
      </w:tcPr>
    </w:tblStylePr>
    <w:tblStylePr w:type="firstRow">
      <w:rPr>
        <w:b/>
        <w:color w:themeColor="accent3" w:themeTint="fe" w:themeShade="95"/>
        <w:sz w:val="22"/>
      </w:rPr>
      <w:tblPr/>
      <w:tcPr>
        <w:tcBorders>
          <w:top w:val="none" w:color="000000" w:sz="4" w:space="0"/>
          <w:left w:val="none" w:color="000000" w:sz="4" w:space="0"/>
          <w:bottom w:val="single" w:color="9ABB59" w:themeColor="accent3" w:sz="4" w:space="0"/>
          <w:right w:val="none" w:color="000000" w:sz="4" w:space="0"/>
        </w:tcBorders>
        <w:shd w:val="clear" w:color="FFFFFF" w:fill="FFFFFF" w:themeFill="light1"/>
      </w:tcPr>
    </w:tblStylePr>
    <w:tblStylePr w:type="lastCol">
      <w:rPr>
        <w:i/>
        <w:color w:themeColor="accent3" w:themeTint="fe" w:themeShade="95"/>
        <w:sz w:val="22"/>
      </w:rPr>
      <w:tblPr/>
      <w:tcPr>
        <w:tcBorders>
          <w:top w:val="none" w:color="000000" w:sz="4" w:space="0"/>
          <w:left w:val="single" w:color="9ABB59" w:themeColor="accent3" w:sz="4" w:space="0"/>
          <w:bottom w:val="none" w:color="000000" w:sz="4" w:space="0"/>
          <w:right w:val="none" w:color="000000" w:sz="4" w:space="0"/>
        </w:tcBorders>
        <w:shd w:val="clear" w:color="FFFFFF" w:fill="auto"/>
      </w:tcPr>
    </w:tblStylePr>
    <w:tblStylePr w:type="lastRow">
      <w:rPr>
        <w:b/>
        <w:color w:themeColor="accent3" w:themeTint="fe" w:themeShade="95"/>
        <w:sz w:val="22"/>
      </w:rPr>
      <w:tblPr/>
      <w:tcPr>
        <w:tcBorders>
          <w:top w:val="single" w:color="9ABB59" w:themeColor="accent3" w:sz="4" w:space="0"/>
          <w:left w:val="none" w:color="000000" w:sz="4" w:space="0"/>
          <w:bottom w:val="none" w:color="000000" w:sz="4" w:space="0"/>
          <w:right w:val="none" w:color="000000" w:sz="4" w:space="0"/>
        </w:tcBorders>
        <w:shd w:val="clear" w:color="FFFFFF" w:fill="FFFFFF" w:themeFill="light1"/>
      </w:tcPr>
    </w:tblStylePr>
  </w:style>
  <w:style w:type="table" w:customStyle="1" w:styleId="1003">
    <w:name w:val="Grid Table 7 Colorful - Accent 4"/>
    <w:basedOn w:val="950"/>
    <w:uiPriority w:val="99"/>
    <w:tblPr>
      <w:tblStyleRowBandSize w:val="1"/>
      <w:tblStyleColBandSize w:val="1"/>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CellMar>
        <w:left w:w="108" w:type="dxa"/>
        <w:top w:w="0" w:type="dxa"/>
        <w:right w:w="108" w:type="dxa"/>
        <w:bottom w:w="0" w:type="dxa"/>
      </w:tblCellMar>
    </w:tblPr>
    <w:tblStylePr w:type="band1Horz">
      <w:rPr>
        <w:color w:themeColor="accent4" w:themeTint="9a" w:themeShade="95"/>
        <w:sz w:val="22"/>
      </w:rPr>
      <w:tblPr/>
      <w:tcPr>
        <w:shd w:val="clear" w:color="E5DFEC" w:fill="E5DFEC" w:themeFill="accent4" w:themeFillTint="34"/>
      </w:tcPr>
    </w:tblStylePr>
    <w:tblStylePr w:type="band1Vert">
      <w:tblPr/>
      <w:tcPr>
        <w:shd w:val="clear" w:color="E5DFEC" w:fill="E5DFEC" w:themeFill="accent4" w:themeFillTint="34"/>
      </w:tcPr>
    </w:tblStylePr>
    <w:tblStylePr w:type="band2Horz">
      <w:rPr>
        <w:color w:themeColor="accent4" w:themeTint="9a" w:themeShade="95"/>
        <w:sz w:val="22"/>
      </w:rPr>
      <w:tblPr/>
    </w:tblStylePr>
    <w:tblStylePr w:type="firstCol">
      <w:pPr>
        <w:jc w:val="right"/>
      </w:pPr>
      <w:rPr>
        <w:i/>
        <w:color w:themeColor="accent4" w:themeTint="9a" w:themeShade="95"/>
        <w:sz w:val="22"/>
      </w:rPr>
      <w:tblPr/>
      <w:tcPr>
        <w:tcBorders>
          <w:top w:val="none" w:color="000000" w:sz="4" w:space="0"/>
          <w:left w:val="none" w:color="000000" w:sz="4" w:space="0"/>
          <w:bottom w:val="none" w:color="000000" w:sz="4" w:space="0"/>
          <w:right w:val="single" w:color="B2A1C6" w:themeColor="accent4" w:sz="4" w:space="0"/>
        </w:tcBorders>
        <w:shd w:val="clear" w:color="FFFFFF" w:fill="auto"/>
      </w:tcPr>
    </w:tblStylePr>
    <w:tblStylePr w:type="firstRow">
      <w:rPr>
        <w:b/>
        <w:color w:themeColor="accent4" w:themeTint="9a" w:themeShade="95"/>
        <w:sz w:val="22"/>
      </w:rPr>
      <w:tblPr/>
      <w:tcPr>
        <w:tcBorders>
          <w:top w:val="none" w:color="000000" w:sz="4" w:space="0"/>
          <w:left w:val="none" w:color="000000" w:sz="4" w:space="0"/>
          <w:bottom w:val="single" w:color="B2A1C6" w:themeColor="accent4" w:sz="4" w:space="0"/>
          <w:right w:val="none" w:color="000000" w:sz="4" w:space="0"/>
        </w:tcBorders>
        <w:shd w:val="clear" w:color="FFFFFF" w:fill="FFFFFF" w:themeFill="light1"/>
      </w:tcPr>
    </w:tblStylePr>
    <w:tblStylePr w:type="lastCol">
      <w:rPr>
        <w:i/>
        <w:color w:themeColor="accent4" w:themeTint="9a" w:themeShade="95"/>
        <w:sz w:val="22"/>
      </w:rPr>
      <w:tblPr/>
      <w:tcPr>
        <w:tcBorders>
          <w:top w:val="none" w:color="000000" w:sz="4" w:space="0"/>
          <w:left w:val="single" w:color="B2A1C6" w:themeColor="accent4" w:sz="4" w:space="0"/>
          <w:bottom w:val="none" w:color="000000" w:sz="4" w:space="0"/>
          <w:right w:val="none" w:color="000000" w:sz="4" w:space="0"/>
        </w:tcBorders>
        <w:shd w:val="clear" w:color="FFFFFF" w:fill="auto"/>
      </w:tcPr>
    </w:tblStylePr>
    <w:tblStylePr w:type="lastRow">
      <w:rPr>
        <w:b/>
        <w:color w:themeColor="accent4" w:themeTint="9a" w:themeShade="95"/>
        <w:sz w:val="22"/>
      </w:rPr>
      <w:tblPr/>
      <w:tcPr>
        <w:tcBorders>
          <w:top w:val="single" w:color="B2A1C6" w:themeColor="accent4" w:sz="4" w:space="0"/>
          <w:left w:val="none" w:color="000000" w:sz="4" w:space="0"/>
          <w:bottom w:val="none" w:color="000000" w:sz="4" w:space="0"/>
          <w:right w:val="none" w:color="000000" w:sz="4" w:space="0"/>
        </w:tcBorders>
        <w:shd w:val="clear" w:color="FFFFFF" w:fill="FFFFFF" w:themeFill="light1"/>
      </w:tcPr>
    </w:tblStylePr>
  </w:style>
  <w:style w:type="table" w:customStyle="1" w:styleId="1004">
    <w:name w:val="Grid Table 7 Colorful - Accent 5"/>
    <w:basedOn w:val="950"/>
    <w:uiPriority w:val="99"/>
    <w:tblPr>
      <w:tblStyleRowBandSize w:val="1"/>
      <w:tblStyleColBandSize w:val="1"/>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CellMar>
        <w:left w:w="108" w:type="dxa"/>
        <w:top w:w="0" w:type="dxa"/>
        <w:right w:w="108" w:type="dxa"/>
        <w:bottom w:w="0" w:type="dxa"/>
      </w:tblCellMar>
    </w:tblPr>
    <w:tblStylePr w:type="band1Horz">
      <w:rPr>
        <w:color w:themeColor="accent5" w:themeShade="95"/>
        <w:sz w:val="22"/>
      </w:rPr>
      <w:tblPr/>
      <w:tcPr>
        <w:shd w:val="clear" w:color="DAEEF3" w:fill="DAEEF3" w:themeFill="accent5" w:themeFillTint="34"/>
      </w:tcPr>
    </w:tblStylePr>
    <w:tblStylePr w:type="band1Vert">
      <w:tblPr/>
      <w:tcPr>
        <w:shd w:val="clear" w:color="DAEEF3" w:fill="DAEEF3" w:themeFill="accent5" w:themeFillTint="34"/>
      </w:tcPr>
    </w:tblStylePr>
    <w:tblStylePr w:type="band2Horz">
      <w:rPr>
        <w:color w:themeColor="accent5" w:themeShade="95"/>
        <w:sz w:val="22"/>
      </w:rPr>
      <w:tblPr/>
    </w:tblStylePr>
    <w:tblStylePr w:type="firstCol">
      <w:pPr>
        <w:jc w:val="right"/>
      </w:pPr>
      <w:rPr>
        <w:i/>
        <w:color w:themeColor="accent5" w:themeShade="95"/>
        <w:sz w:val="22"/>
      </w:rPr>
      <w:tblPr/>
      <w:tcPr>
        <w:tcBorders>
          <w:top w:val="none" w:color="000000" w:sz="4" w:space="0"/>
          <w:left w:val="none" w:color="000000" w:sz="4" w:space="0"/>
          <w:bottom w:val="none" w:color="000000" w:sz="4" w:space="0"/>
          <w:right w:val="single" w:color="99D0DE" w:themeColor="accent5" w:sz="4" w:space="0"/>
        </w:tcBorders>
        <w:shd w:val="clear" w:color="FFFFFF" w:fill="auto"/>
      </w:tcPr>
    </w:tblStylePr>
    <w:tblStylePr w:type="firstRow">
      <w:rPr>
        <w:b/>
        <w:color w:themeColor="accent5" w:themeShade="95"/>
        <w:sz w:val="22"/>
      </w:rPr>
      <w:tblPr/>
      <w:tcPr>
        <w:tcBorders>
          <w:top w:val="none" w:color="000000" w:sz="4" w:space="0"/>
          <w:left w:val="none" w:color="000000" w:sz="4" w:space="0"/>
          <w:bottom w:val="single" w:color="99D0DE" w:themeColor="accent5" w:sz="4" w:space="0"/>
          <w:right w:val="none" w:color="000000" w:sz="4" w:space="0"/>
        </w:tcBorders>
        <w:shd w:val="clear" w:color="FFFFFF" w:fill="FFFFFF" w:themeFill="light1"/>
      </w:tcPr>
    </w:tblStylePr>
    <w:tblStylePr w:type="lastCol">
      <w:rPr>
        <w:i/>
        <w:color w:themeColor="accent5" w:themeShade="95"/>
        <w:sz w:val="22"/>
      </w:rPr>
      <w:tblPr/>
      <w:tcPr>
        <w:tcBorders>
          <w:top w:val="none" w:color="000000" w:sz="4" w:space="0"/>
          <w:left w:val="single" w:color="99D0DE" w:themeColor="accent5" w:sz="4" w:space="0"/>
          <w:bottom w:val="none" w:color="000000" w:sz="4" w:space="0"/>
          <w:right w:val="none" w:color="000000" w:sz="4" w:space="0"/>
        </w:tcBorders>
        <w:shd w:val="clear" w:color="FFFFFF" w:fill="auto"/>
      </w:tcPr>
    </w:tblStylePr>
    <w:tblStylePr w:type="lastRow">
      <w:rPr>
        <w:b/>
        <w:color w:themeColor="accent5" w:themeShade="95"/>
        <w:sz w:val="22"/>
      </w:rPr>
      <w:tblPr/>
      <w:tcPr>
        <w:tcBorders>
          <w:top w:val="single" w:color="99D0DE" w:themeColor="accent5" w:sz="4" w:space="0"/>
          <w:left w:val="none" w:color="000000" w:sz="4" w:space="0"/>
          <w:bottom w:val="none" w:color="000000" w:sz="4" w:space="0"/>
          <w:right w:val="none" w:color="000000" w:sz="4" w:space="0"/>
        </w:tcBorders>
        <w:shd w:val="clear" w:color="FFFFFF" w:fill="FFFFFF" w:themeFill="light1"/>
      </w:tcPr>
    </w:tblStylePr>
  </w:style>
  <w:style w:type="table" w:customStyle="1" w:styleId="1005">
    <w:name w:val="Grid Table 7 Colorful - Accent 6"/>
    <w:basedOn w:val="950"/>
    <w:uiPriority w:val="99"/>
    <w:tblPr>
      <w:tblStyleRowBandSize w:val="1"/>
      <w:tblStyleColBandSize w:val="1"/>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CellMar>
        <w:left w:w="108" w:type="dxa"/>
        <w:top w:w="0" w:type="dxa"/>
        <w:right w:w="108" w:type="dxa"/>
        <w:bottom w:w="0" w:type="dxa"/>
      </w:tblCellMar>
    </w:tblPr>
    <w:tblStylePr w:type="band1Horz">
      <w:rPr>
        <w:color w:themeColor="accent6" w:themeShade="95"/>
        <w:sz w:val="22"/>
      </w:rPr>
      <w:tblPr/>
      <w:tcPr>
        <w:shd w:val="clear" w:color="FDE9D8" w:fill="FDE9D8" w:themeFill="accent6" w:themeFillTint="34"/>
      </w:tcPr>
    </w:tblStylePr>
    <w:tblStylePr w:type="band1Vert">
      <w:tblPr/>
      <w:tcPr>
        <w:shd w:val="clear" w:color="FDE9D8" w:fill="FDE9D8" w:themeFill="accent6" w:themeFillTint="34"/>
      </w:tcPr>
    </w:tblStylePr>
    <w:tblStylePr w:type="band2Horz">
      <w:rPr>
        <w:color w:themeColor="accent6" w:themeShade="95"/>
        <w:sz w:val="22"/>
      </w:rPr>
      <w:tblPr/>
    </w:tblStylePr>
    <w:tblStylePr w:type="firstCol">
      <w:pPr>
        <w:jc w:val="right"/>
      </w:pPr>
      <w:rPr>
        <w:i/>
        <w:color w:themeColor="accent6" w:themeShade="95"/>
        <w:sz w:val="22"/>
      </w:rPr>
      <w:tblPr/>
      <w:tcPr>
        <w:tcBorders>
          <w:top w:val="none" w:color="000000" w:sz="4" w:space="0"/>
          <w:left w:val="none" w:color="000000" w:sz="4" w:space="0"/>
          <w:bottom w:val="none" w:color="000000" w:sz="4" w:space="0"/>
          <w:right w:val="single" w:color="FAC396" w:themeColor="accent6" w:sz="4" w:space="0"/>
        </w:tcBorders>
        <w:shd w:val="clear" w:color="FFFFFF" w:fill="auto"/>
      </w:tcPr>
    </w:tblStylePr>
    <w:tblStylePr w:type="firstRow">
      <w:rPr>
        <w:b/>
        <w:color w:themeColor="accent6" w:themeShade="95"/>
        <w:sz w:val="22"/>
      </w:rPr>
      <w:tblPr/>
      <w:tcPr>
        <w:tcBorders>
          <w:top w:val="none" w:color="000000" w:sz="4" w:space="0"/>
          <w:left w:val="none" w:color="000000" w:sz="4" w:space="0"/>
          <w:bottom w:val="single" w:color="FAC396" w:themeColor="accent6" w:sz="4" w:space="0"/>
          <w:right w:val="none" w:color="000000" w:sz="4" w:space="0"/>
        </w:tcBorders>
        <w:shd w:val="clear" w:color="FFFFFF" w:fill="FFFFFF" w:themeFill="light1"/>
      </w:tcPr>
    </w:tblStylePr>
    <w:tblStylePr w:type="lastCol">
      <w:rPr>
        <w:i/>
        <w:color w:themeColor="accent6" w:themeShade="95"/>
        <w:sz w:val="22"/>
      </w:rPr>
      <w:tblPr/>
      <w:tcPr>
        <w:tcBorders>
          <w:top w:val="none" w:color="000000" w:sz="4" w:space="0"/>
          <w:left w:val="single" w:color="FAC396" w:themeColor="accent6" w:sz="4" w:space="0"/>
          <w:bottom w:val="none" w:color="000000" w:sz="4" w:space="0"/>
          <w:right w:val="none" w:color="000000" w:sz="4" w:space="0"/>
        </w:tcBorders>
        <w:shd w:val="clear" w:color="FFFFFF" w:fill="auto"/>
      </w:tcPr>
    </w:tblStylePr>
    <w:tblStylePr w:type="lastRow">
      <w:rPr>
        <w:b/>
        <w:color w:themeColor="accent6" w:themeShade="95"/>
        <w:sz w:val="22"/>
      </w:rPr>
      <w:tblPr/>
      <w:tcPr>
        <w:tcBorders>
          <w:top w:val="single" w:color="FAC396" w:themeColor="accent6" w:sz="4" w:space="0"/>
          <w:left w:val="none" w:color="000000" w:sz="4" w:space="0"/>
          <w:bottom w:val="none" w:color="000000" w:sz="4" w:space="0"/>
          <w:right w:val="none" w:color="000000" w:sz="4" w:space="0"/>
        </w:tcBorders>
        <w:shd w:val="clear" w:color="FFFFFF" w:fill="FFFFFF" w:themeFill="light1"/>
      </w:tcPr>
    </w:tblStylePr>
  </w:style>
  <w:style w:type="table" w:customStyle="1" w:styleId="1006">
    <w:name w:val="List Table 1 Light"/>
    <w:basedOn w:val="950"/>
    <w:uiPriority w:val="99"/>
    <w:tblPr>
      <w:tblStyleRowBandSize w:val="1"/>
      <w:tblStyleColBandSize w:val="1"/>
      <w:tblCellMar>
        <w:left w:w="108" w:type="dxa"/>
        <w:top w:w="0" w:type="dxa"/>
        <w:right w:w="108" w:type="dxa"/>
        <w:bottom w:w="0" w:type="dxa"/>
      </w:tblCellMar>
    </w:tblPr>
    <w:tblStylePr w:type="band1Horz">
      <w:tblPr/>
      <w:tcPr>
        <w:shd w:val="clear" w:color="BFBFBF" w:fill="BFBFBF" w:themeFill="text1" w:themeFillTint="40"/>
      </w:tcPr>
    </w:tblStylePr>
    <w:tblStylePr w:type="band1Vert">
      <w:tblPr/>
      <w:tcPr>
        <w:shd w:val="clear" w:color="BFBFBF" w:fill="BFBFBF" w:themeFill="text1" w:themeFillTint="40"/>
      </w:tcPr>
    </w:tblStylePr>
    <w:tblStylePr w:type="firstCol">
      <w:rPr>
        <w:b/>
      </w:rPr>
      <w:tblPr/>
    </w:tblStylePr>
    <w:tblStylePr w:type="firstRow">
      <w:rPr>
        <w:b/>
      </w:rPr>
      <w:tblPr/>
      <w:tcPr>
        <w:tcBorders>
          <w:top w:val="none" w:color="000000" w:sz="4" w:space="0"/>
          <w:left w:val="none" w:color="000000" w:sz="4" w:space="0"/>
          <w:bottom w:val="single" w:color="000000" w:themeColor="text1" w:sz="4" w:space="0"/>
          <w:right w:val="none" w:color="000000" w:sz="4" w:space="0"/>
        </w:tcBorders>
      </w:tcPr>
    </w:tblStylePr>
    <w:tblStylePr w:type="lastCol">
      <w:rPr>
        <w:b/>
      </w:rPr>
      <w:tblPr/>
    </w:tblStylePr>
    <w:tblStylePr w:type="lastRow">
      <w:rPr>
        <w:b/>
      </w:rPr>
      <w:tblPr/>
      <w:tcPr>
        <w:tcBorders>
          <w:top w:val="single" w:color="000000" w:themeColor="text1" w:sz="4" w:space="0"/>
          <w:left w:val="none" w:color="000000" w:sz="4" w:space="0"/>
          <w:bottom w:val="none" w:color="000000" w:sz="4" w:space="0"/>
          <w:right w:val="none" w:color="000000" w:sz="4" w:space="0"/>
        </w:tcBorders>
      </w:tcPr>
    </w:tblStylePr>
  </w:style>
  <w:style w:type="table" w:customStyle="1" w:styleId="1007">
    <w:name w:val="List Table 1 Light - Accent 1"/>
    <w:basedOn w:val="950"/>
    <w:uiPriority w:val="99"/>
    <w:tblPr>
      <w:tblStyleRowBandSize w:val="1"/>
      <w:tblStyleColBandSize w:val="1"/>
      <w:tblCellMar>
        <w:left w:w="108" w:type="dxa"/>
        <w:top w:w="0" w:type="dxa"/>
        <w:right w:w="108" w:type="dxa"/>
        <w:bottom w:w="0" w:type="dxa"/>
      </w:tblCellMar>
    </w:tblPr>
    <w:tblStylePr w:type="band1Horz">
      <w:tblPr/>
      <w:tcPr>
        <w:shd w:val="clear" w:color="D2DFEE" w:fill="D2DFEE" w:themeFill="accent1" w:themeFillTint="40"/>
      </w:tcPr>
    </w:tblStylePr>
    <w:tblStylePr w:type="band1Vert">
      <w:tblPr/>
      <w:tcPr>
        <w:shd w:val="clear" w:color="D2DFEE" w:fill="D2DFEE" w:themeFill="accent1" w:themeFillTint="40"/>
      </w:tcPr>
    </w:tblStylePr>
    <w:tblStylePr w:type="firstCol">
      <w:rPr>
        <w:b/>
      </w:rPr>
      <w:tblPr/>
    </w:tblStylePr>
    <w:tblStylePr w:type="firstRow">
      <w:rPr>
        <w:b/>
      </w:rPr>
      <w:tblPr/>
      <w:tcPr>
        <w:tcBorders>
          <w:top w:val="none" w:color="000000" w:sz="4" w:space="0"/>
          <w:left w:val="none" w:color="000000" w:sz="4" w:space="0"/>
          <w:bottom w:val="single" w:color="4F81BD" w:themeColor="accent1" w:sz="4" w:space="0"/>
          <w:right w:val="none" w:color="000000" w:sz="4" w:space="0"/>
        </w:tcBorders>
      </w:tcPr>
    </w:tblStylePr>
    <w:tblStylePr w:type="lastCol">
      <w:rPr>
        <w:b/>
      </w:rPr>
      <w:tblPr/>
    </w:tblStylePr>
    <w:tblStylePr w:type="lastRow">
      <w:rPr>
        <w:b/>
      </w:rPr>
      <w:tblPr/>
      <w:tcPr>
        <w:tcBorders>
          <w:top w:val="single" w:color="4F81BD" w:themeColor="accent1" w:sz="4" w:space="0"/>
          <w:left w:val="none" w:color="000000" w:sz="4" w:space="0"/>
          <w:bottom w:val="none" w:color="000000" w:sz="4" w:space="0"/>
          <w:right w:val="none" w:color="000000" w:sz="4" w:space="0"/>
        </w:tcBorders>
      </w:tcPr>
    </w:tblStylePr>
  </w:style>
  <w:style w:type="table" w:customStyle="1" w:styleId="1008">
    <w:name w:val="List Table 1 Light - Accent 2"/>
    <w:basedOn w:val="950"/>
    <w:uiPriority w:val="99"/>
    <w:tblPr>
      <w:tblStyleRowBandSize w:val="1"/>
      <w:tblStyleColBandSize w:val="1"/>
      <w:tblCellMar>
        <w:left w:w="108" w:type="dxa"/>
        <w:top w:w="0" w:type="dxa"/>
        <w:right w:w="108" w:type="dxa"/>
        <w:bottom w:w="0" w:type="dxa"/>
      </w:tblCellMar>
    </w:tblPr>
    <w:tblStylePr w:type="band1Horz">
      <w:tblPr/>
      <w:tcPr>
        <w:shd w:val="clear" w:color="EFD2D2" w:fill="EFD2D2" w:themeFill="accent2" w:themeFillTint="40"/>
      </w:tcPr>
    </w:tblStylePr>
    <w:tblStylePr w:type="band1Vert">
      <w:tblPr/>
      <w:tcPr>
        <w:shd w:val="clear" w:color="EFD2D2" w:fill="EFD2D2" w:themeFill="accent2" w:themeFillTint="40"/>
      </w:tcPr>
    </w:tblStylePr>
    <w:tblStylePr w:type="firstCol">
      <w:rPr>
        <w:b/>
      </w:rPr>
      <w:tblPr/>
    </w:tblStylePr>
    <w:tblStylePr w:type="firstRow">
      <w:rPr>
        <w:b/>
      </w:rPr>
      <w:tblPr/>
      <w:tcPr>
        <w:tcBorders>
          <w:top w:val="none" w:color="000000" w:sz="4" w:space="0"/>
          <w:left w:val="none" w:color="000000" w:sz="4" w:space="0"/>
          <w:bottom w:val="single" w:color="C0504D" w:themeColor="accent2" w:sz="4" w:space="0"/>
          <w:right w:val="none" w:color="000000" w:sz="4" w:space="0"/>
        </w:tcBorders>
      </w:tcPr>
    </w:tblStylePr>
    <w:tblStylePr w:type="lastCol">
      <w:rPr>
        <w:b/>
      </w:rPr>
      <w:tblPr/>
    </w:tblStylePr>
    <w:tblStylePr w:type="lastRow">
      <w:rPr>
        <w:b/>
      </w:rPr>
      <w:tblPr/>
      <w:tcPr>
        <w:tcBorders>
          <w:top w:val="single" w:color="C0504D" w:themeColor="accent2" w:sz="4" w:space="0"/>
          <w:left w:val="none" w:color="000000" w:sz="4" w:space="0"/>
          <w:bottom w:val="none" w:color="000000" w:sz="4" w:space="0"/>
          <w:right w:val="none" w:color="000000" w:sz="4" w:space="0"/>
        </w:tcBorders>
      </w:tcPr>
    </w:tblStylePr>
  </w:style>
  <w:style w:type="table" w:customStyle="1" w:styleId="1009">
    <w:name w:val="List Table 1 Light - Accent 3"/>
    <w:basedOn w:val="950"/>
    <w:uiPriority w:val="99"/>
    <w:tblPr>
      <w:tblStyleRowBandSize w:val="1"/>
      <w:tblStyleColBandSize w:val="1"/>
      <w:tblCellMar>
        <w:left w:w="108" w:type="dxa"/>
        <w:top w:w="0" w:type="dxa"/>
        <w:right w:w="108" w:type="dxa"/>
        <w:bottom w:w="0" w:type="dxa"/>
      </w:tblCellMar>
    </w:tblPr>
    <w:tblStylePr w:type="band1Horz">
      <w:tblPr/>
      <w:tcPr>
        <w:shd w:val="clear" w:color="E5EED5" w:fill="E5EED5" w:themeFill="accent3" w:themeFillTint="40"/>
      </w:tcPr>
    </w:tblStylePr>
    <w:tblStylePr w:type="band1Vert">
      <w:tblPr/>
      <w:tcPr>
        <w:shd w:val="clear" w:color="E5EED5" w:fill="E5EED5" w:themeFill="accent3" w:themeFillTint="40"/>
      </w:tcPr>
    </w:tblStylePr>
    <w:tblStylePr w:type="firstCol">
      <w:rPr>
        <w:b/>
      </w:rPr>
      <w:tblPr/>
    </w:tblStylePr>
    <w:tblStylePr w:type="firstRow">
      <w:rPr>
        <w:b/>
      </w:rPr>
      <w:tblPr/>
      <w:tcPr>
        <w:tcBorders>
          <w:top w:val="none" w:color="000000" w:sz="4" w:space="0"/>
          <w:left w:val="none" w:color="000000" w:sz="4" w:space="0"/>
          <w:bottom w:val="single" w:color="9BBB59" w:themeColor="accent3" w:sz="4" w:space="0"/>
          <w:right w:val="none" w:color="000000" w:sz="4" w:space="0"/>
        </w:tcBorders>
      </w:tcPr>
    </w:tblStylePr>
    <w:tblStylePr w:type="lastCol">
      <w:rPr>
        <w:b/>
      </w:rPr>
      <w:tblPr/>
    </w:tblStylePr>
    <w:tblStylePr w:type="lastRow">
      <w:rPr>
        <w:b/>
      </w:rPr>
      <w:tblPr/>
      <w:tcPr>
        <w:tcBorders>
          <w:top w:val="single" w:color="9BBB59" w:themeColor="accent3" w:sz="4" w:space="0"/>
          <w:left w:val="none" w:color="000000" w:sz="4" w:space="0"/>
          <w:bottom w:val="none" w:color="000000" w:sz="4" w:space="0"/>
          <w:right w:val="none" w:color="000000" w:sz="4" w:space="0"/>
        </w:tcBorders>
      </w:tcPr>
    </w:tblStylePr>
  </w:style>
  <w:style w:type="table" w:customStyle="1" w:styleId="1010">
    <w:name w:val="List Table 1 Light - Accent 4"/>
    <w:basedOn w:val="950"/>
    <w:uiPriority w:val="99"/>
    <w:tblPr>
      <w:tblStyleRowBandSize w:val="1"/>
      <w:tblStyleColBandSize w:val="1"/>
      <w:tblCellMar>
        <w:left w:w="108" w:type="dxa"/>
        <w:top w:w="0" w:type="dxa"/>
        <w:right w:w="108" w:type="dxa"/>
        <w:bottom w:w="0" w:type="dxa"/>
      </w:tblCellMar>
    </w:tblPr>
    <w:tblStylePr w:type="band1Horz">
      <w:tblPr/>
      <w:tcPr>
        <w:shd w:val="clear" w:color="DFD8E7" w:fill="DFD8E7" w:themeFill="accent4" w:themeFillTint="40"/>
      </w:tcPr>
    </w:tblStylePr>
    <w:tblStylePr w:type="band1Vert">
      <w:tblPr/>
      <w:tcPr>
        <w:shd w:val="clear" w:color="DFD8E7" w:fill="DFD8E7" w:themeFill="accent4" w:themeFillTint="40"/>
      </w:tcPr>
    </w:tblStylePr>
    <w:tblStylePr w:type="firstCol">
      <w:rPr>
        <w:b/>
      </w:rPr>
      <w:tblPr/>
    </w:tblStylePr>
    <w:tblStylePr w:type="firstRow">
      <w:rPr>
        <w:b/>
      </w:rPr>
      <w:tblPr/>
      <w:tcPr>
        <w:tcBorders>
          <w:top w:val="none" w:color="000000" w:sz="4" w:space="0"/>
          <w:left w:val="none" w:color="000000" w:sz="4" w:space="0"/>
          <w:bottom w:val="single" w:color="8064A2" w:themeColor="accent4" w:sz="4" w:space="0"/>
          <w:right w:val="none" w:color="000000" w:sz="4" w:space="0"/>
        </w:tcBorders>
      </w:tcPr>
    </w:tblStylePr>
    <w:tblStylePr w:type="lastCol">
      <w:rPr>
        <w:b/>
      </w:rPr>
      <w:tblPr/>
    </w:tblStylePr>
    <w:tblStylePr w:type="lastRow">
      <w:rPr>
        <w:b/>
      </w:rPr>
      <w:tblPr/>
      <w:tcPr>
        <w:tcBorders>
          <w:top w:val="single" w:color="8064A2" w:themeColor="accent4" w:sz="4" w:space="0"/>
          <w:left w:val="none" w:color="000000" w:sz="4" w:space="0"/>
          <w:bottom w:val="none" w:color="000000" w:sz="4" w:space="0"/>
          <w:right w:val="none" w:color="000000" w:sz="4" w:space="0"/>
        </w:tcBorders>
      </w:tcPr>
    </w:tblStylePr>
  </w:style>
  <w:style w:type="table" w:customStyle="1" w:styleId="1011">
    <w:name w:val="List Table 1 Light - Accent 5"/>
    <w:basedOn w:val="950"/>
    <w:uiPriority w:val="99"/>
    <w:tblPr>
      <w:tblStyleRowBandSize w:val="1"/>
      <w:tblStyleColBandSize w:val="1"/>
      <w:tblCellMar>
        <w:left w:w="108" w:type="dxa"/>
        <w:top w:w="0" w:type="dxa"/>
        <w:right w:w="108" w:type="dxa"/>
        <w:bottom w:w="0" w:type="dxa"/>
      </w:tblCellMar>
    </w:tblPr>
    <w:tblStylePr w:type="band1Horz">
      <w:tblPr/>
      <w:tcPr>
        <w:shd w:val="clear" w:color="D1EAF0" w:fill="D1EAF0" w:themeFill="accent5" w:themeFillTint="40"/>
      </w:tcPr>
    </w:tblStylePr>
    <w:tblStylePr w:type="band1Vert">
      <w:tblPr/>
      <w:tcPr>
        <w:shd w:val="clear" w:color="D1EAF0" w:fill="D1EAF0" w:themeFill="accent5" w:themeFillTint="40"/>
      </w:tcPr>
    </w:tblStylePr>
    <w:tblStylePr w:type="firstCol">
      <w:rPr>
        <w:b/>
      </w:rPr>
      <w:tblPr/>
    </w:tblStylePr>
    <w:tblStylePr w:type="firstRow">
      <w:rPr>
        <w:b/>
      </w:rPr>
      <w:tblPr/>
      <w:tcPr>
        <w:tcBorders>
          <w:top w:val="none" w:color="000000" w:sz="4" w:space="0"/>
          <w:left w:val="none" w:color="000000" w:sz="4" w:space="0"/>
          <w:bottom w:val="single" w:color="4BACC6" w:themeColor="accent5" w:sz="4" w:space="0"/>
          <w:right w:val="none" w:color="000000" w:sz="4" w:space="0"/>
        </w:tcBorders>
      </w:tcPr>
    </w:tblStylePr>
    <w:tblStylePr w:type="lastCol">
      <w:rPr>
        <w:b/>
      </w:rPr>
      <w:tblPr/>
    </w:tblStylePr>
    <w:tblStylePr w:type="lastRow">
      <w:rPr>
        <w:b/>
      </w:rPr>
      <w:tblPr/>
      <w:tcPr>
        <w:tcBorders>
          <w:top w:val="single" w:color="4BACC6" w:themeColor="accent5" w:sz="4" w:space="0"/>
          <w:left w:val="none" w:color="000000" w:sz="4" w:space="0"/>
          <w:bottom w:val="none" w:color="000000" w:sz="4" w:space="0"/>
          <w:right w:val="none" w:color="000000" w:sz="4" w:space="0"/>
        </w:tcBorders>
      </w:tcPr>
    </w:tblStylePr>
  </w:style>
  <w:style w:type="table" w:customStyle="1" w:styleId="1012">
    <w:name w:val="List Table 1 Light - Accent 6"/>
    <w:basedOn w:val="950"/>
    <w:uiPriority w:val="99"/>
    <w:tblPr>
      <w:tblStyleRowBandSize w:val="1"/>
      <w:tblStyleColBandSize w:val="1"/>
      <w:tblCellMar>
        <w:left w:w="108" w:type="dxa"/>
        <w:top w:w="0" w:type="dxa"/>
        <w:right w:w="108" w:type="dxa"/>
        <w:bottom w:w="0" w:type="dxa"/>
      </w:tblCellMar>
    </w:tblPr>
    <w:tblStylePr w:type="band1Horz">
      <w:tblPr/>
      <w:tcPr>
        <w:shd w:val="clear" w:color="FDE4D0" w:fill="FDE4D0" w:themeFill="accent6" w:themeFillTint="40"/>
      </w:tcPr>
    </w:tblStylePr>
    <w:tblStylePr w:type="band1Vert">
      <w:tblPr/>
      <w:tcPr>
        <w:shd w:val="clear" w:color="FDE4D0" w:fill="FDE4D0" w:themeFill="accent6" w:themeFillTint="40"/>
      </w:tcPr>
    </w:tblStylePr>
    <w:tblStylePr w:type="firstCol">
      <w:rPr>
        <w:b/>
      </w:rPr>
      <w:tblPr/>
    </w:tblStylePr>
    <w:tblStylePr w:type="firstRow">
      <w:rPr>
        <w:b/>
      </w:rPr>
      <w:tblPr/>
      <w:tcPr>
        <w:tcBorders>
          <w:top w:val="none" w:color="000000" w:sz="4" w:space="0"/>
          <w:left w:val="none" w:color="000000" w:sz="4" w:space="0"/>
          <w:bottom w:val="single" w:color="F79646" w:themeColor="accent6" w:sz="4" w:space="0"/>
          <w:right w:val="none" w:color="000000" w:sz="4" w:space="0"/>
        </w:tcBorders>
      </w:tcPr>
    </w:tblStylePr>
    <w:tblStylePr w:type="lastCol">
      <w:rPr>
        <w:b/>
      </w:rPr>
      <w:tblPr/>
    </w:tblStylePr>
    <w:tblStylePr w:type="lastRow">
      <w:rPr>
        <w:b/>
      </w:rPr>
      <w:tblPr/>
      <w:tcPr>
        <w:tcBorders>
          <w:top w:val="single" w:color="F79646" w:themeColor="accent6" w:sz="4" w:space="0"/>
          <w:left w:val="none" w:color="000000" w:sz="4" w:space="0"/>
          <w:bottom w:val="none" w:color="000000" w:sz="4" w:space="0"/>
          <w:right w:val="none" w:color="000000" w:sz="4" w:space="0"/>
        </w:tcBorders>
      </w:tcPr>
    </w:tblStylePr>
  </w:style>
  <w:style w:type="table" w:customStyle="1" w:styleId="1013">
    <w:name w:val="List Table 2"/>
    <w:basedOn w:val="950"/>
    <w:uiPriority w:val="99"/>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CellMar>
        <w:left w:w="108" w:type="dxa"/>
        <w:top w:w="0" w:type="dxa"/>
        <w:right w:w="108" w:type="dxa"/>
        <w:bottom w:w="0" w:type="dxa"/>
      </w:tblCellMar>
    </w:tblPr>
    <w:tblStylePr w:type="band1Horz">
      <w:rPr>
        <w:sz w:val="22"/>
      </w:rPr>
      <w:tblPr/>
      <w:tcPr>
        <w:shd w:val="clear" w:color="BFBFBF" w:fill="BFBFBF" w:themeFill="text1" w:themeFillTint="40"/>
      </w:tcPr>
    </w:tblStylePr>
    <w:tblStylePr w:type="band1Vert">
      <w:rPr>
        <w:sz w:val="22"/>
      </w:rPr>
      <w:tblPr/>
      <w:tcPr>
        <w:shd w:val="clear" w:color="BFBFBF" w:fill="BFBFBF" w:themeFill="text1" w:themeFillTint="40"/>
      </w:tcPr>
    </w:tblStylePr>
    <w:tblStylePr w:type="firstCol">
      <w:rPr>
        <w:b/>
        <w:sz w:val="22"/>
      </w:rPr>
      <w:tblPr/>
    </w:tblStylePr>
    <w:tblStylePr w:type="firstRow">
      <w:rPr>
        <w:b/>
        <w:sz w:val="22"/>
      </w:rPr>
      <w:tblPr/>
      <w:tcPr>
        <w:tcBorders>
          <w:top w:val="single" w:color="6F6F6F" w:themeColor="text1" w:sz="4" w:space="0"/>
          <w:left w:val="none" w:color="000000" w:sz="4" w:space="0"/>
          <w:bottom w:val="single" w:color="6F6F6F" w:themeColor="text1" w:sz="4" w:space="0"/>
          <w:right w:val="none" w:color="000000" w:sz="4" w:space="0"/>
        </w:tcBorders>
      </w:tcPr>
    </w:tblStylePr>
    <w:tblStylePr w:type="lastCol">
      <w:rPr>
        <w:b/>
        <w:sz w:val="22"/>
      </w:rPr>
      <w:tblPr/>
    </w:tblStylePr>
    <w:tblStylePr w:type="lastRow">
      <w:rPr>
        <w:b/>
        <w:sz w:val="22"/>
      </w:rPr>
      <w:tblPr/>
      <w:tcPr>
        <w:tcBorders>
          <w:top w:val="single" w:color="6F6F6F" w:themeColor="text1" w:sz="4" w:space="0"/>
          <w:left w:val="none" w:color="000000" w:sz="4" w:space="0"/>
          <w:bottom w:val="single" w:color="6F6F6F" w:themeColor="text1" w:sz="4" w:space="0"/>
          <w:right w:val="none" w:color="000000" w:sz="4" w:space="0"/>
        </w:tcBorders>
      </w:tcPr>
    </w:tblStylePr>
  </w:style>
  <w:style w:type="table" w:customStyle="1" w:styleId="1014">
    <w:name w:val="List Table 2 - Accent 1"/>
    <w:basedOn w:val="950"/>
    <w:uiPriority w:val="99"/>
    <w:tblPr>
      <w:tblStyleRowBandSize w:val="1"/>
      <w:tblStyleColBandSize w:val="1"/>
      <w:tblBorders>
        <w:top w:val="single" w:color="9BB7D9" w:themeColor="accent1" w:themeTint="90" w:sz="4" w:space="0"/>
        <w:bottom w:val="single" w:color="9BB7D9" w:themeColor="accent1" w:themeTint="90" w:sz="4" w:space="0"/>
        <w:insideH w:val="single" w:color="9BB7D9" w:themeColor="accent1" w:themeTint="90" w:sz="4" w:space="0"/>
      </w:tblBorders>
      <w:tblCellMar>
        <w:left w:w="108" w:type="dxa"/>
        <w:top w:w="0" w:type="dxa"/>
        <w:right w:w="108" w:type="dxa"/>
        <w:bottom w:w="0" w:type="dxa"/>
      </w:tblCellMar>
    </w:tblPr>
    <w:tblStylePr w:type="band1Horz">
      <w:rPr>
        <w:sz w:val="22"/>
      </w:rPr>
      <w:tblPr/>
      <w:tcPr>
        <w:shd w:val="clear" w:color="D2DFEE" w:fill="D2DFEE" w:themeFill="accent1" w:themeFillTint="40"/>
      </w:tcPr>
    </w:tblStylePr>
    <w:tblStylePr w:type="band1Vert">
      <w:rPr>
        <w:sz w:val="22"/>
      </w:rPr>
      <w:tblPr/>
      <w:tcPr>
        <w:shd w:val="clear" w:color="D2DFEE" w:fill="D2DFEE" w:themeFill="accent1" w:themeFillTint="40"/>
      </w:tcPr>
    </w:tblStylePr>
    <w:tblStylePr w:type="firstCol">
      <w:rPr>
        <w:b/>
        <w:sz w:val="22"/>
      </w:rPr>
      <w:tblPr/>
    </w:tblStylePr>
    <w:tblStylePr w:type="firstRow">
      <w:rPr>
        <w:b/>
        <w:sz w:val="22"/>
      </w:rPr>
      <w:tblPr/>
      <w:tcPr>
        <w:tcBorders>
          <w:top w:val="single" w:color="9BB7D9" w:themeColor="accent1" w:sz="4" w:space="0"/>
          <w:left w:val="none" w:color="000000" w:sz="4" w:space="0"/>
          <w:bottom w:val="single" w:color="9BB7D9" w:themeColor="accent1" w:sz="4" w:space="0"/>
          <w:right w:val="none" w:color="000000" w:sz="4" w:space="0"/>
        </w:tcBorders>
      </w:tcPr>
    </w:tblStylePr>
    <w:tblStylePr w:type="lastCol">
      <w:rPr>
        <w:b/>
        <w:sz w:val="22"/>
      </w:rPr>
      <w:tblPr/>
    </w:tblStylePr>
    <w:tblStylePr w:type="lastRow">
      <w:rPr>
        <w:b/>
        <w:sz w:val="22"/>
      </w:rPr>
      <w:tblPr/>
      <w:tcPr>
        <w:tcBorders>
          <w:top w:val="single" w:color="9BB7D9" w:themeColor="accent1" w:sz="4" w:space="0"/>
          <w:left w:val="none" w:color="000000" w:sz="4" w:space="0"/>
          <w:bottom w:val="single" w:color="9BB7D9" w:themeColor="accent1" w:sz="4" w:space="0"/>
          <w:right w:val="none" w:color="000000" w:sz="4" w:space="0"/>
        </w:tcBorders>
      </w:tcPr>
    </w:tblStylePr>
  </w:style>
  <w:style w:type="table" w:customStyle="1" w:styleId="1015">
    <w:name w:val="List Table 2 - Accent 2"/>
    <w:basedOn w:val="950"/>
    <w:uiPriority w:val="99"/>
    <w:tblPr>
      <w:tblStyleRowBandSize w:val="1"/>
      <w:tblStyleColBandSize w:val="1"/>
      <w:tblBorders>
        <w:top w:val="single" w:color="DB9B9A" w:themeColor="accent2" w:themeTint="90" w:sz="4" w:space="0"/>
        <w:bottom w:val="single" w:color="DB9B9A" w:themeColor="accent2" w:themeTint="90" w:sz="4" w:space="0"/>
        <w:insideH w:val="single" w:color="DB9B9A" w:themeColor="accent2" w:themeTint="90" w:sz="4" w:space="0"/>
      </w:tblBorders>
      <w:tblCellMar>
        <w:left w:w="108" w:type="dxa"/>
        <w:top w:w="0" w:type="dxa"/>
        <w:right w:w="108" w:type="dxa"/>
        <w:bottom w:w="0" w:type="dxa"/>
      </w:tblCellMar>
    </w:tblPr>
    <w:tblStylePr w:type="band1Horz">
      <w:rPr>
        <w:sz w:val="22"/>
      </w:rPr>
      <w:tblPr/>
      <w:tcPr>
        <w:shd w:val="clear" w:color="EFD2D2" w:fill="EFD2D2" w:themeFill="accent2" w:themeFillTint="40"/>
      </w:tcPr>
    </w:tblStylePr>
    <w:tblStylePr w:type="band1Vert">
      <w:rPr>
        <w:sz w:val="22"/>
      </w:rPr>
      <w:tblPr/>
      <w:tcPr>
        <w:shd w:val="clear" w:color="EFD2D2" w:fill="EFD2D2" w:themeFill="accent2" w:themeFillTint="40"/>
      </w:tcPr>
    </w:tblStylePr>
    <w:tblStylePr w:type="firstCol">
      <w:rPr>
        <w:b/>
        <w:sz w:val="22"/>
      </w:rPr>
      <w:tblPr/>
    </w:tblStylePr>
    <w:tblStylePr w:type="firstRow">
      <w:rPr>
        <w:b/>
        <w:sz w:val="22"/>
      </w:rPr>
      <w:tblPr/>
      <w:tcPr>
        <w:tcBorders>
          <w:top w:val="single" w:color="DB9B9A" w:themeColor="accent2" w:sz="4" w:space="0"/>
          <w:left w:val="none" w:color="000000" w:sz="4" w:space="0"/>
          <w:bottom w:val="single" w:color="DB9B9A" w:themeColor="accent2" w:sz="4" w:space="0"/>
          <w:right w:val="none" w:color="000000" w:sz="4" w:space="0"/>
        </w:tcBorders>
      </w:tcPr>
    </w:tblStylePr>
    <w:tblStylePr w:type="lastCol">
      <w:rPr>
        <w:b/>
        <w:sz w:val="22"/>
      </w:rPr>
      <w:tblPr/>
    </w:tblStylePr>
    <w:tblStylePr w:type="lastRow">
      <w:rPr>
        <w:b/>
        <w:sz w:val="22"/>
      </w:rPr>
      <w:tblPr/>
      <w:tcPr>
        <w:tcBorders>
          <w:top w:val="single" w:color="DB9B9A" w:themeColor="accent2" w:sz="4" w:space="0"/>
          <w:left w:val="none" w:color="000000" w:sz="4" w:space="0"/>
          <w:bottom w:val="single" w:color="DB9B9A" w:themeColor="accent2" w:sz="4" w:space="0"/>
          <w:right w:val="none" w:color="000000" w:sz="4" w:space="0"/>
        </w:tcBorders>
      </w:tcPr>
    </w:tblStylePr>
  </w:style>
  <w:style w:type="table" w:customStyle="1" w:styleId="1016">
    <w:name w:val="List Table 2 - Accent 3"/>
    <w:basedOn w:val="950"/>
    <w:uiPriority w:val="99"/>
    <w:tblPr>
      <w:tblStyleRowBandSize w:val="1"/>
      <w:tblStyleColBandSize w:val="1"/>
      <w:tblBorders>
        <w:top w:val="single" w:color="C6D8A1" w:themeColor="accent3" w:themeTint="90" w:sz="4" w:space="0"/>
        <w:bottom w:val="single" w:color="C6D8A1" w:themeColor="accent3" w:themeTint="90" w:sz="4" w:space="0"/>
        <w:insideH w:val="single" w:color="C6D8A1" w:themeColor="accent3" w:themeTint="90" w:sz="4" w:space="0"/>
      </w:tblBorders>
      <w:tblCellMar>
        <w:left w:w="108" w:type="dxa"/>
        <w:top w:w="0" w:type="dxa"/>
        <w:right w:w="108" w:type="dxa"/>
        <w:bottom w:w="0" w:type="dxa"/>
      </w:tblCellMar>
    </w:tblPr>
    <w:tblStylePr w:type="band1Horz">
      <w:rPr>
        <w:sz w:val="22"/>
      </w:rPr>
      <w:tblPr/>
      <w:tcPr>
        <w:shd w:val="clear" w:color="E5EED5" w:fill="E5EED5" w:themeFill="accent3" w:themeFillTint="40"/>
      </w:tcPr>
    </w:tblStylePr>
    <w:tblStylePr w:type="band1Vert">
      <w:rPr>
        <w:sz w:val="22"/>
      </w:rPr>
      <w:tblPr/>
      <w:tcPr>
        <w:shd w:val="clear" w:color="E5EED5" w:fill="E5EED5" w:themeFill="accent3" w:themeFillTint="40"/>
      </w:tcPr>
    </w:tblStylePr>
    <w:tblStylePr w:type="firstCol">
      <w:rPr>
        <w:b/>
        <w:sz w:val="22"/>
      </w:rPr>
      <w:tblPr/>
    </w:tblStylePr>
    <w:tblStylePr w:type="firstRow">
      <w:rPr>
        <w:b/>
        <w:sz w:val="22"/>
      </w:rPr>
      <w:tblPr/>
      <w:tcPr>
        <w:tcBorders>
          <w:top w:val="single" w:color="C6D8A1" w:themeColor="accent3" w:sz="4" w:space="0"/>
          <w:left w:val="none" w:color="000000" w:sz="4" w:space="0"/>
          <w:bottom w:val="single" w:color="C6D8A1" w:themeColor="accent3" w:sz="4" w:space="0"/>
          <w:right w:val="none" w:color="000000" w:sz="4" w:space="0"/>
        </w:tcBorders>
      </w:tcPr>
    </w:tblStylePr>
    <w:tblStylePr w:type="lastCol">
      <w:rPr>
        <w:b/>
        <w:sz w:val="22"/>
      </w:rPr>
      <w:tblPr/>
    </w:tblStylePr>
    <w:tblStylePr w:type="lastRow">
      <w:rPr>
        <w:b/>
        <w:sz w:val="22"/>
      </w:rPr>
      <w:tblPr/>
      <w:tcPr>
        <w:tcBorders>
          <w:top w:val="single" w:color="C6D8A1" w:themeColor="accent3" w:sz="4" w:space="0"/>
          <w:left w:val="none" w:color="000000" w:sz="4" w:space="0"/>
          <w:bottom w:val="single" w:color="C6D8A1" w:themeColor="accent3" w:sz="4" w:space="0"/>
          <w:right w:val="none" w:color="000000" w:sz="4" w:space="0"/>
        </w:tcBorders>
      </w:tcPr>
    </w:tblStylePr>
  </w:style>
  <w:style w:type="table" w:customStyle="1" w:styleId="1017">
    <w:name w:val="List Table 2 - Accent 4"/>
    <w:basedOn w:val="950"/>
    <w:uiPriority w:val="99"/>
    <w:tblPr>
      <w:tblStyleRowBandSize w:val="1"/>
      <w:tblStyleColBandSize w:val="1"/>
      <w:tblBorders>
        <w:top w:val="single" w:color="B7A7CA" w:themeColor="accent4" w:themeTint="90" w:sz="4" w:space="0"/>
        <w:bottom w:val="single" w:color="B7A7CA" w:themeColor="accent4" w:themeTint="90" w:sz="4" w:space="0"/>
        <w:insideH w:val="single" w:color="B7A7CA" w:themeColor="accent4" w:themeTint="90" w:sz="4" w:space="0"/>
      </w:tblBorders>
      <w:tblCellMar>
        <w:left w:w="108" w:type="dxa"/>
        <w:top w:w="0" w:type="dxa"/>
        <w:right w:w="108" w:type="dxa"/>
        <w:bottom w:w="0" w:type="dxa"/>
      </w:tblCellMar>
    </w:tblPr>
    <w:tblStylePr w:type="band1Horz">
      <w:rPr>
        <w:sz w:val="22"/>
      </w:rPr>
      <w:tblPr/>
      <w:tcPr>
        <w:shd w:val="clear" w:color="DFD8E7" w:fill="DFD8E7" w:themeFill="accent4" w:themeFillTint="40"/>
      </w:tcPr>
    </w:tblStylePr>
    <w:tblStylePr w:type="band1Vert">
      <w:rPr>
        <w:sz w:val="22"/>
      </w:rPr>
      <w:tblPr/>
      <w:tcPr>
        <w:shd w:val="clear" w:color="DFD8E7" w:fill="DFD8E7" w:themeFill="accent4" w:themeFillTint="40"/>
      </w:tcPr>
    </w:tblStylePr>
    <w:tblStylePr w:type="firstCol">
      <w:rPr>
        <w:b/>
        <w:sz w:val="22"/>
      </w:rPr>
      <w:tblPr/>
    </w:tblStylePr>
    <w:tblStylePr w:type="firstRow">
      <w:rPr>
        <w:b/>
        <w:sz w:val="22"/>
      </w:rPr>
      <w:tblPr/>
      <w:tcPr>
        <w:tcBorders>
          <w:top w:val="single" w:color="B7A7CA" w:themeColor="accent4" w:sz="4" w:space="0"/>
          <w:left w:val="none" w:color="000000" w:sz="4" w:space="0"/>
          <w:bottom w:val="single" w:color="B7A7CA" w:themeColor="accent4" w:sz="4" w:space="0"/>
          <w:right w:val="none" w:color="000000" w:sz="4" w:space="0"/>
        </w:tcBorders>
      </w:tcPr>
    </w:tblStylePr>
    <w:tblStylePr w:type="lastCol">
      <w:rPr>
        <w:b/>
        <w:sz w:val="22"/>
      </w:rPr>
      <w:tblPr/>
    </w:tblStylePr>
    <w:tblStylePr w:type="lastRow">
      <w:rPr>
        <w:b/>
        <w:sz w:val="22"/>
      </w:rPr>
      <w:tblPr/>
      <w:tcPr>
        <w:tcBorders>
          <w:top w:val="single" w:color="B7A7CA" w:themeColor="accent4" w:sz="4" w:space="0"/>
          <w:left w:val="none" w:color="000000" w:sz="4" w:space="0"/>
          <w:bottom w:val="single" w:color="B7A7CA" w:themeColor="accent4" w:sz="4" w:space="0"/>
          <w:right w:val="none" w:color="000000" w:sz="4" w:space="0"/>
        </w:tcBorders>
      </w:tcPr>
    </w:tblStylePr>
  </w:style>
  <w:style w:type="table" w:customStyle="1" w:styleId="1018">
    <w:name w:val="List Table 2 - Accent 5"/>
    <w:basedOn w:val="950"/>
    <w:uiPriority w:val="99"/>
    <w:tblPr>
      <w:tblStyleRowBandSize w:val="1"/>
      <w:tblStyleColBandSize w:val="1"/>
      <w:tblBorders>
        <w:top w:val="single" w:color="99D0DE" w:themeColor="accent5" w:themeTint="90" w:sz="4" w:space="0"/>
        <w:bottom w:val="single" w:color="99D0DE" w:themeColor="accent5" w:themeTint="90" w:sz="4" w:space="0"/>
        <w:insideH w:val="single" w:color="99D0DE" w:themeColor="accent5" w:themeTint="90" w:sz="4" w:space="0"/>
      </w:tblBorders>
      <w:tblCellMar>
        <w:left w:w="108" w:type="dxa"/>
        <w:top w:w="0" w:type="dxa"/>
        <w:right w:w="108" w:type="dxa"/>
        <w:bottom w:w="0" w:type="dxa"/>
      </w:tblCellMar>
    </w:tblPr>
    <w:tblStylePr w:type="band1Horz">
      <w:rPr>
        <w:sz w:val="22"/>
      </w:rPr>
      <w:tblPr/>
      <w:tcPr>
        <w:shd w:val="clear" w:color="D1EAF0" w:fill="D1EAF0" w:themeFill="accent5" w:themeFillTint="40"/>
      </w:tcPr>
    </w:tblStylePr>
    <w:tblStylePr w:type="band1Vert">
      <w:rPr>
        <w:sz w:val="22"/>
      </w:rPr>
      <w:tblPr/>
      <w:tcPr>
        <w:shd w:val="clear" w:color="D1EAF0" w:fill="D1EAF0" w:themeFill="accent5" w:themeFillTint="40"/>
      </w:tcPr>
    </w:tblStylePr>
    <w:tblStylePr w:type="firstCol">
      <w:rPr>
        <w:b/>
        <w:sz w:val="22"/>
      </w:rPr>
      <w:tblPr/>
    </w:tblStylePr>
    <w:tblStylePr w:type="firstRow">
      <w:rPr>
        <w:b/>
        <w:sz w:val="22"/>
      </w:rPr>
      <w:tblPr/>
      <w:tcPr>
        <w:tcBorders>
          <w:top w:val="single" w:color="99D0DE" w:themeColor="accent5" w:sz="4" w:space="0"/>
          <w:left w:val="none" w:color="000000" w:sz="4" w:space="0"/>
          <w:bottom w:val="single" w:color="99D0DE" w:themeColor="accent5" w:sz="4" w:space="0"/>
          <w:right w:val="none" w:color="000000" w:sz="4" w:space="0"/>
        </w:tcBorders>
      </w:tcPr>
    </w:tblStylePr>
    <w:tblStylePr w:type="lastCol">
      <w:rPr>
        <w:b/>
        <w:sz w:val="22"/>
      </w:rPr>
      <w:tblPr/>
    </w:tblStylePr>
    <w:tblStylePr w:type="lastRow">
      <w:rPr>
        <w:b/>
        <w:sz w:val="22"/>
      </w:rPr>
      <w:tblPr/>
      <w:tcPr>
        <w:tcBorders>
          <w:top w:val="single" w:color="99D0DE" w:themeColor="accent5" w:sz="4" w:space="0"/>
          <w:left w:val="none" w:color="000000" w:sz="4" w:space="0"/>
          <w:bottom w:val="single" w:color="99D0DE" w:themeColor="accent5" w:sz="4" w:space="0"/>
          <w:right w:val="none" w:color="000000" w:sz="4" w:space="0"/>
        </w:tcBorders>
      </w:tcPr>
    </w:tblStylePr>
  </w:style>
  <w:style w:type="table" w:customStyle="1" w:styleId="1019">
    <w:name w:val="List Table 2 - Accent 6"/>
    <w:basedOn w:val="950"/>
    <w:uiPriority w:val="99"/>
    <w:tblPr>
      <w:tblStyleRowBandSize w:val="1"/>
      <w:tblStyleColBandSize w:val="1"/>
      <w:tblBorders>
        <w:top w:val="single" w:color="FAC396" w:themeColor="accent6" w:themeTint="90" w:sz="4" w:space="0"/>
        <w:bottom w:val="single" w:color="FAC396" w:themeColor="accent6" w:themeTint="90" w:sz="4" w:space="0"/>
        <w:insideH w:val="single" w:color="FAC396" w:themeColor="accent6" w:themeTint="90" w:sz="4" w:space="0"/>
      </w:tblBorders>
      <w:tblCellMar>
        <w:left w:w="108" w:type="dxa"/>
        <w:top w:w="0" w:type="dxa"/>
        <w:right w:w="108" w:type="dxa"/>
        <w:bottom w:w="0" w:type="dxa"/>
      </w:tblCellMar>
    </w:tblPr>
    <w:tblStylePr w:type="band1Horz">
      <w:rPr>
        <w:sz w:val="22"/>
      </w:rPr>
      <w:tblPr/>
      <w:tcPr>
        <w:shd w:val="clear" w:color="FDE4D0" w:fill="FDE4D0" w:themeFill="accent6" w:themeFillTint="40"/>
      </w:tcPr>
    </w:tblStylePr>
    <w:tblStylePr w:type="band1Vert">
      <w:rPr>
        <w:sz w:val="22"/>
      </w:rPr>
      <w:tblPr/>
      <w:tcPr>
        <w:shd w:val="clear" w:color="FDE4D0" w:fill="FDE4D0" w:themeFill="accent6" w:themeFillTint="40"/>
      </w:tcPr>
    </w:tblStylePr>
    <w:tblStylePr w:type="firstCol">
      <w:rPr>
        <w:b/>
        <w:sz w:val="22"/>
      </w:rPr>
      <w:tblPr/>
    </w:tblStylePr>
    <w:tblStylePr w:type="firstRow">
      <w:rPr>
        <w:b/>
        <w:sz w:val="22"/>
      </w:rPr>
      <w:tblPr/>
      <w:tcPr>
        <w:tcBorders>
          <w:top w:val="single" w:color="FAC396" w:themeColor="accent6" w:sz="4" w:space="0"/>
          <w:left w:val="none" w:color="000000" w:sz="4" w:space="0"/>
          <w:bottom w:val="single" w:color="FAC396" w:themeColor="accent6" w:sz="4" w:space="0"/>
          <w:right w:val="none" w:color="000000" w:sz="4" w:space="0"/>
        </w:tcBorders>
      </w:tcPr>
    </w:tblStylePr>
    <w:tblStylePr w:type="lastCol">
      <w:rPr>
        <w:b/>
        <w:sz w:val="22"/>
      </w:rPr>
      <w:tblPr/>
    </w:tblStylePr>
    <w:tblStylePr w:type="lastRow">
      <w:rPr>
        <w:b/>
        <w:sz w:val="22"/>
      </w:rPr>
      <w:tblPr/>
      <w:tcPr>
        <w:tcBorders>
          <w:top w:val="single" w:color="FAC396" w:themeColor="accent6" w:sz="4" w:space="0"/>
          <w:left w:val="none" w:color="000000" w:sz="4" w:space="0"/>
          <w:bottom w:val="single" w:color="FAC396" w:themeColor="accent6" w:sz="4" w:space="0"/>
          <w:right w:val="none" w:color="000000" w:sz="4" w:space="0"/>
        </w:tcBorders>
      </w:tcPr>
    </w:tblStylePr>
  </w:style>
  <w:style w:type="table" w:customStyle="1" w:styleId="1020">
    <w:name w:val="List Table 3"/>
    <w:basedOn w:val="950"/>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CellMar>
        <w:left w:w="108" w:type="dxa"/>
        <w:top w:w="0" w:type="dxa"/>
        <w:right w:w="108" w:type="dxa"/>
        <w:bottom w:w="0" w:type="dxa"/>
      </w:tblCellMar>
    </w:tblPr>
    <w:tblStylePr w:type="band1Horz">
      <w:rPr>
        <w:sz w:val="22"/>
      </w:rPr>
      <w:tblPr/>
      <w:tcPr>
        <w:tcBorders>
          <w:top w:val="single" w:color="000000" w:themeColor="text1" w:sz="4" w:space="0"/>
          <w:bottom w:val="single" w:color="000000" w:themeColor="text1" w:sz="4" w:space="0"/>
        </w:tcBorders>
      </w:tcPr>
    </w:tblStylePr>
    <w:tblStylePr w:type="band1Vert">
      <w:rPr>
        <w:sz w:val="22"/>
      </w:rPr>
      <w:tblPr/>
      <w:tcPr>
        <w:tcBorders>
          <w:left w:val="single" w:color="000000" w:themeColor="text1" w:sz="4" w:space="0"/>
          <w:right w:val="single" w:color="000000" w:themeColor="text1" w:sz="4" w:space="0"/>
        </w:tcBorders>
      </w:tcPr>
    </w:tblStylePr>
    <w:tblStylePr w:type="firstCol">
      <w:rPr>
        <w:b/>
      </w:rPr>
      <w:tblPr/>
    </w:tblStylePr>
    <w:tblStylePr w:type="firstRow">
      <w:rPr>
        <w:b/>
        <w:sz w:val="22"/>
      </w:rPr>
      <w:tblPr/>
      <w:tcPr>
        <w:shd w:val="clear" w:color="000000" w:fill="000000" w:themeFill="text1"/>
      </w:tcPr>
    </w:tblStylePr>
    <w:tblStylePr w:type="lastCol">
      <w:rPr>
        <w:b/>
      </w:rPr>
      <w:tblPr/>
    </w:tblStylePr>
    <w:tblStylePr w:type="lastRow">
      <w:rPr>
        <w:b/>
      </w:rPr>
      <w:tblPr/>
    </w:tblStylePr>
  </w:style>
  <w:style w:type="table" w:customStyle="1" w:styleId="1021">
    <w:name w:val="List Table 3 - Accent 1"/>
    <w:basedOn w:val="950"/>
    <w:uiPriority w:val="99"/>
    <w:tblPr>
      <w:tblStyleRowBandSize w:val="1"/>
      <w:tblStyleColBandSize w:val="1"/>
      <w:tblBorders>
        <w:top w:val="single" w:color="4F81BD" w:themeColor="accent1" w:sz="4" w:space="0"/>
        <w:left w:val="single" w:color="4F81BD" w:themeColor="accent1" w:sz="4" w:space="0"/>
        <w:bottom w:val="single" w:color="4F81BD" w:themeColor="accent1" w:sz="4" w:space="0"/>
        <w:right w:val="single" w:color="4F81BD" w:themeColor="accent1" w:sz="4" w:space="0"/>
      </w:tblBorders>
      <w:tblCellMar>
        <w:left w:w="108" w:type="dxa"/>
        <w:top w:w="0" w:type="dxa"/>
        <w:right w:w="108" w:type="dxa"/>
        <w:bottom w:w="0" w:type="dxa"/>
      </w:tblCellMar>
    </w:tblPr>
    <w:tblStylePr w:type="band1Horz">
      <w:rPr>
        <w:sz w:val="22"/>
      </w:rPr>
      <w:tblPr/>
      <w:tcPr>
        <w:tcBorders>
          <w:top w:val="single" w:color="4F81BD" w:themeColor="accent1" w:sz="4" w:space="0"/>
          <w:bottom w:val="single" w:color="4F81BD" w:themeColor="accent1" w:sz="4" w:space="0"/>
        </w:tcBorders>
      </w:tcPr>
    </w:tblStylePr>
    <w:tblStylePr w:type="band1Vert">
      <w:rPr>
        <w:sz w:val="22"/>
      </w:rPr>
      <w:tblPr/>
      <w:tcPr>
        <w:tcBorders>
          <w:left w:val="single" w:color="4F81BD" w:themeColor="accent1" w:sz="4" w:space="0"/>
          <w:right w:val="single" w:color="4F81BD" w:themeColor="accent1" w:sz="4" w:space="0"/>
        </w:tcBorders>
      </w:tcPr>
    </w:tblStylePr>
    <w:tblStylePr w:type="firstCol">
      <w:rPr>
        <w:b/>
      </w:rPr>
      <w:tblPr/>
    </w:tblStylePr>
    <w:tblStylePr w:type="firstRow">
      <w:rPr>
        <w:b/>
        <w:sz w:val="22"/>
      </w:rPr>
      <w:tblPr/>
      <w:tcPr>
        <w:shd w:val="clear" w:color="4F81BD" w:fill="4F81BD" w:themeFill="accent1"/>
      </w:tcPr>
    </w:tblStylePr>
    <w:tblStylePr w:type="lastCol">
      <w:rPr>
        <w:b/>
      </w:rPr>
      <w:tblPr/>
    </w:tblStylePr>
    <w:tblStylePr w:type="lastRow">
      <w:rPr>
        <w:b/>
      </w:rPr>
      <w:tblPr/>
    </w:tblStylePr>
  </w:style>
  <w:style w:type="table" w:customStyle="1" w:styleId="1022">
    <w:name w:val="List Table 3 - Accent 2"/>
    <w:basedOn w:val="950"/>
    <w:uiPriority w:val="99"/>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blBorders>
      <w:tblCellMar>
        <w:left w:w="108" w:type="dxa"/>
        <w:top w:w="0" w:type="dxa"/>
        <w:right w:w="108" w:type="dxa"/>
        <w:bottom w:w="0" w:type="dxa"/>
      </w:tblCellMar>
    </w:tblPr>
    <w:tblStylePr w:type="band1Horz">
      <w:rPr>
        <w:sz w:val="22"/>
      </w:rPr>
      <w:tblPr/>
      <w:tcPr>
        <w:tcBorders>
          <w:top w:val="single" w:color="D99695" w:themeColor="accent2" w:sz="4" w:space="0"/>
          <w:bottom w:val="single" w:color="D99695" w:themeColor="accent2" w:sz="4" w:space="0"/>
        </w:tcBorders>
      </w:tcPr>
    </w:tblStylePr>
    <w:tblStylePr w:type="band1Vert">
      <w:rPr>
        <w:sz w:val="22"/>
      </w:rPr>
      <w:tblPr/>
      <w:tcPr>
        <w:tcBorders>
          <w:left w:val="single" w:color="D99695" w:themeColor="accent2" w:sz="4" w:space="0"/>
          <w:right w:val="single" w:color="D99695" w:themeColor="accent2" w:sz="4" w:space="0"/>
        </w:tcBorders>
      </w:tcPr>
    </w:tblStylePr>
    <w:tblStylePr w:type="firstCol">
      <w:rPr>
        <w:b/>
      </w:rPr>
      <w:tblPr/>
    </w:tblStylePr>
    <w:tblStylePr w:type="firstRow">
      <w:rPr>
        <w:b/>
        <w:sz w:val="22"/>
      </w:rPr>
      <w:tblPr/>
      <w:tcPr>
        <w:shd w:val="clear" w:color="D99695" w:fill="D99695" w:themeFill="accent2" w:themeFillTint="97"/>
      </w:tcPr>
    </w:tblStylePr>
    <w:tblStylePr w:type="lastCol">
      <w:rPr>
        <w:b/>
      </w:rPr>
      <w:tblPr/>
    </w:tblStylePr>
    <w:tblStylePr w:type="lastRow">
      <w:rPr>
        <w:b/>
      </w:rPr>
      <w:tblPr/>
    </w:tblStylePr>
  </w:style>
  <w:style w:type="table" w:customStyle="1" w:styleId="1023">
    <w:name w:val="List Table 3 - Accent 3"/>
    <w:basedOn w:val="950"/>
    <w:uiPriority w:val="99"/>
    <w:tblPr>
      <w:tblStyleRowBandSize w:val="1"/>
      <w:tblStyleColBandSize w:val="1"/>
      <w:tblBorders>
        <w:top w:val="single" w:color="C3D69B" w:themeColor="accent3" w:themeTint="98" w:sz="4" w:space="0"/>
        <w:left w:val="single" w:color="C3D69B" w:themeColor="accent3" w:themeTint="98" w:sz="4" w:space="0"/>
        <w:bottom w:val="single" w:color="C3D69B" w:themeColor="accent3" w:themeTint="98" w:sz="4" w:space="0"/>
        <w:right w:val="single" w:color="C3D69B" w:themeColor="accent3" w:themeTint="98" w:sz="4" w:space="0"/>
      </w:tblBorders>
      <w:tblCellMar>
        <w:left w:w="108" w:type="dxa"/>
        <w:top w:w="0" w:type="dxa"/>
        <w:right w:w="108" w:type="dxa"/>
        <w:bottom w:w="0" w:type="dxa"/>
      </w:tblCellMar>
    </w:tblPr>
    <w:tblStylePr w:type="band1Horz">
      <w:rPr>
        <w:sz w:val="22"/>
      </w:rPr>
      <w:tblPr/>
      <w:tcPr>
        <w:tcBorders>
          <w:top w:val="single" w:color="C3D69B" w:themeColor="accent3" w:sz="4" w:space="0"/>
          <w:bottom w:val="single" w:color="C3D69B" w:themeColor="accent3" w:sz="4" w:space="0"/>
        </w:tcBorders>
      </w:tcPr>
    </w:tblStylePr>
    <w:tblStylePr w:type="band1Vert">
      <w:rPr>
        <w:sz w:val="22"/>
      </w:rPr>
      <w:tblPr/>
      <w:tcPr>
        <w:tcBorders>
          <w:left w:val="single" w:color="C3D69B" w:themeColor="accent3" w:sz="4" w:space="0"/>
          <w:right w:val="single" w:color="C3D69B" w:themeColor="accent3" w:sz="4" w:space="0"/>
        </w:tcBorders>
      </w:tcPr>
    </w:tblStylePr>
    <w:tblStylePr w:type="firstCol">
      <w:rPr>
        <w:b/>
      </w:rPr>
      <w:tblPr/>
    </w:tblStylePr>
    <w:tblStylePr w:type="firstRow">
      <w:rPr>
        <w:b/>
        <w:sz w:val="22"/>
      </w:rPr>
      <w:tblPr/>
      <w:tcPr>
        <w:shd w:val="clear" w:color="C3D69B" w:fill="C3D69B" w:themeFill="accent3" w:themeFillTint="98"/>
      </w:tcPr>
    </w:tblStylePr>
    <w:tblStylePr w:type="lastCol">
      <w:rPr>
        <w:b/>
      </w:rPr>
      <w:tblPr/>
    </w:tblStylePr>
    <w:tblStylePr w:type="lastRow">
      <w:rPr>
        <w:b/>
      </w:rPr>
      <w:tblPr/>
    </w:tblStylePr>
  </w:style>
  <w:style w:type="table" w:customStyle="1" w:styleId="1024">
    <w:name w:val="List Table 3 - Accent 4"/>
    <w:basedOn w:val="950"/>
    <w:uiPriority w:val="99"/>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CellMar>
        <w:left w:w="108" w:type="dxa"/>
        <w:top w:w="0" w:type="dxa"/>
        <w:right w:w="108" w:type="dxa"/>
        <w:bottom w:w="0" w:type="dxa"/>
      </w:tblCellMar>
    </w:tblPr>
    <w:tblStylePr w:type="band1Horz">
      <w:rPr>
        <w:sz w:val="22"/>
      </w:rPr>
      <w:tblPr/>
      <w:tcPr>
        <w:tcBorders>
          <w:top w:val="single" w:color="B2A1C6" w:themeColor="accent4" w:sz="4" w:space="0"/>
          <w:bottom w:val="single" w:color="B2A1C6" w:themeColor="accent4" w:sz="4" w:space="0"/>
        </w:tcBorders>
      </w:tcPr>
    </w:tblStylePr>
    <w:tblStylePr w:type="band1Vert">
      <w:rPr>
        <w:sz w:val="22"/>
      </w:rPr>
      <w:tblPr/>
      <w:tcPr>
        <w:tcBorders>
          <w:left w:val="single" w:color="B2A1C6" w:themeColor="accent4" w:sz="4" w:space="0"/>
          <w:right w:val="single" w:color="B2A1C6" w:themeColor="accent4" w:sz="4" w:space="0"/>
        </w:tcBorders>
      </w:tcPr>
    </w:tblStylePr>
    <w:tblStylePr w:type="firstCol">
      <w:rPr>
        <w:b/>
      </w:rPr>
      <w:tblPr/>
    </w:tblStylePr>
    <w:tblStylePr w:type="firstRow">
      <w:rPr>
        <w:b/>
        <w:sz w:val="22"/>
      </w:rPr>
      <w:tblPr/>
      <w:tcPr>
        <w:shd w:val="clear" w:color="B2A1C6" w:fill="B2A1C6" w:themeFill="accent4" w:themeFillTint="9a"/>
      </w:tcPr>
    </w:tblStylePr>
    <w:tblStylePr w:type="lastCol">
      <w:rPr>
        <w:b/>
      </w:rPr>
      <w:tblPr/>
    </w:tblStylePr>
    <w:tblStylePr w:type="lastRow">
      <w:rPr>
        <w:b/>
      </w:rPr>
      <w:tblPr/>
    </w:tblStylePr>
  </w:style>
  <w:style w:type="table" w:customStyle="1" w:styleId="1025">
    <w:name w:val="List Table 3 - Accent 5"/>
    <w:basedOn w:val="950"/>
    <w:uiPriority w:val="99"/>
    <w:tblPr>
      <w:tblStyleRowBandSize w:val="1"/>
      <w:tblStyleColBandSize w:val="1"/>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CellMar>
        <w:left w:w="108" w:type="dxa"/>
        <w:top w:w="0" w:type="dxa"/>
        <w:right w:w="108" w:type="dxa"/>
        <w:bottom w:w="0" w:type="dxa"/>
      </w:tblCellMar>
    </w:tblPr>
    <w:tblStylePr w:type="band1Horz">
      <w:rPr>
        <w:sz w:val="22"/>
      </w:rPr>
      <w:tblPr/>
      <w:tcPr>
        <w:tcBorders>
          <w:top w:val="single" w:color="92CCDC" w:themeColor="accent5" w:sz="4" w:space="0"/>
          <w:bottom w:val="single" w:color="92CCDC" w:themeColor="accent5" w:sz="4" w:space="0"/>
        </w:tcBorders>
      </w:tcPr>
    </w:tblStylePr>
    <w:tblStylePr w:type="band1Vert">
      <w:rPr>
        <w:sz w:val="22"/>
      </w:rPr>
      <w:tblPr/>
      <w:tcPr>
        <w:tcBorders>
          <w:left w:val="single" w:color="92CCDC" w:themeColor="accent5" w:sz="4" w:space="0"/>
          <w:right w:val="single" w:color="92CCDC" w:themeColor="accent5" w:sz="4" w:space="0"/>
        </w:tcBorders>
      </w:tcPr>
    </w:tblStylePr>
    <w:tblStylePr w:type="firstCol">
      <w:rPr>
        <w:b/>
      </w:rPr>
      <w:tblPr/>
    </w:tblStylePr>
    <w:tblStylePr w:type="firstRow">
      <w:rPr>
        <w:b/>
        <w:sz w:val="22"/>
      </w:rPr>
      <w:tblPr/>
      <w:tcPr>
        <w:shd w:val="clear" w:color="92CCDC" w:fill="92CCDC" w:themeFill="accent5" w:themeFillTint="9a"/>
      </w:tcPr>
    </w:tblStylePr>
    <w:tblStylePr w:type="lastCol">
      <w:rPr>
        <w:b/>
      </w:rPr>
      <w:tblPr/>
    </w:tblStylePr>
    <w:tblStylePr w:type="lastRow">
      <w:rPr>
        <w:b/>
      </w:rPr>
      <w:tblPr/>
    </w:tblStylePr>
  </w:style>
  <w:style w:type="table" w:customStyle="1" w:styleId="1026">
    <w:name w:val="List Table 3 - Accent 6"/>
    <w:basedOn w:val="950"/>
    <w:uiPriority w:val="99"/>
    <w:tblPr>
      <w:tblStyleRowBandSize w:val="1"/>
      <w:tblStyleColBandSize w:val="1"/>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CellMar>
        <w:left w:w="108" w:type="dxa"/>
        <w:top w:w="0" w:type="dxa"/>
        <w:right w:w="108" w:type="dxa"/>
        <w:bottom w:w="0" w:type="dxa"/>
      </w:tblCellMar>
    </w:tblPr>
    <w:tblStylePr w:type="band1Horz">
      <w:rPr>
        <w:sz w:val="22"/>
      </w:rPr>
      <w:tblPr/>
      <w:tcPr>
        <w:tcBorders>
          <w:top w:val="single" w:color="FAC090" w:themeColor="accent6" w:sz="4" w:space="0"/>
          <w:bottom w:val="single" w:color="FAC090" w:themeColor="accent6" w:sz="4" w:space="0"/>
        </w:tcBorders>
      </w:tcPr>
    </w:tblStylePr>
    <w:tblStylePr w:type="band1Vert">
      <w:rPr>
        <w:sz w:val="22"/>
      </w:rPr>
      <w:tblPr/>
      <w:tcPr>
        <w:tcBorders>
          <w:left w:val="single" w:color="FAC090" w:themeColor="accent6" w:sz="4" w:space="0"/>
          <w:right w:val="single" w:color="FAC090" w:themeColor="accent6" w:sz="4" w:space="0"/>
        </w:tcBorders>
      </w:tcPr>
    </w:tblStylePr>
    <w:tblStylePr w:type="firstCol">
      <w:rPr>
        <w:b/>
      </w:rPr>
      <w:tblPr/>
    </w:tblStylePr>
    <w:tblStylePr w:type="firstRow">
      <w:rPr>
        <w:b/>
        <w:sz w:val="22"/>
      </w:rPr>
      <w:tblPr/>
      <w:tcPr>
        <w:shd w:val="clear" w:color="FAC090" w:fill="FAC090" w:themeFill="accent6" w:themeFillTint="98"/>
      </w:tcPr>
    </w:tblStylePr>
    <w:tblStylePr w:type="lastCol">
      <w:rPr>
        <w:b/>
      </w:rPr>
      <w:tblPr/>
    </w:tblStylePr>
    <w:tblStylePr w:type="lastRow">
      <w:rPr>
        <w:b/>
      </w:rPr>
      <w:tblPr/>
    </w:tblStylePr>
  </w:style>
  <w:style w:type="table" w:customStyle="1" w:styleId="1027">
    <w:name w:val="List Table 4"/>
    <w:basedOn w:val="950"/>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CellMar>
        <w:left w:w="108" w:type="dxa"/>
        <w:top w:w="0" w:type="dxa"/>
        <w:right w:w="108" w:type="dxa"/>
        <w:bottom w:w="0" w:type="dxa"/>
      </w:tblCellMar>
    </w:tblPr>
    <w:tblStylePr w:type="band1Horz">
      <w:rPr>
        <w:sz w:val="22"/>
      </w:rPr>
      <w:tblPr/>
      <w:tcPr>
        <w:shd w:val="clear" w:color="BFBFBF" w:fill="BFBFBF" w:themeFill="text1" w:themeFillTint="40"/>
      </w:tcPr>
    </w:tblStylePr>
    <w:tblStylePr w:type="band1Vert">
      <w:rPr>
        <w:sz w:val="22"/>
      </w:rPr>
      <w:tblPr/>
      <w:tcPr>
        <w:shd w:val="clear" w:color="BFBFBF" w:fill="BFBFBF" w:themeFill="text1" w:themeFillTint="40"/>
      </w:tcPr>
    </w:tblStylePr>
    <w:tblStylePr w:type="firstCol">
      <w:rPr>
        <w:b/>
      </w:rPr>
      <w:tblPr/>
    </w:tblStylePr>
    <w:tblStylePr w:type="firstRow">
      <w:rPr>
        <w:b/>
        <w:sz w:val="22"/>
      </w:rPr>
      <w:tblPr/>
      <w:tcPr>
        <w:shd w:val="clear" w:color="000000" w:fill="000000" w:themeFill="text1"/>
      </w:tcPr>
    </w:tblStylePr>
    <w:tblStylePr w:type="lastCol">
      <w:rPr>
        <w:b/>
      </w:rPr>
      <w:tblPr/>
    </w:tblStylePr>
    <w:tblStylePr w:type="lastRow">
      <w:rPr>
        <w:b/>
      </w:rPr>
      <w:tblPr/>
    </w:tblStylePr>
  </w:style>
  <w:style w:type="table" w:customStyle="1" w:styleId="1028">
    <w:name w:val="List Table 4 - Accent 1"/>
    <w:basedOn w:val="950"/>
    <w:uiPriority w:val="99"/>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CellMar>
        <w:left w:w="108" w:type="dxa"/>
        <w:top w:w="0" w:type="dxa"/>
        <w:right w:w="108" w:type="dxa"/>
        <w:bottom w:w="0" w:type="dxa"/>
      </w:tblCellMar>
    </w:tblPr>
    <w:tblStylePr w:type="band1Horz">
      <w:rPr>
        <w:sz w:val="22"/>
      </w:rPr>
      <w:tblPr/>
      <w:tcPr>
        <w:shd w:val="clear" w:color="D2DFEE" w:fill="D2DFEE" w:themeFill="accent1" w:themeFillTint="40"/>
      </w:tcPr>
    </w:tblStylePr>
    <w:tblStylePr w:type="band1Vert">
      <w:rPr>
        <w:sz w:val="22"/>
      </w:rPr>
      <w:tblPr/>
      <w:tcPr>
        <w:shd w:val="clear" w:color="D2DFEE" w:fill="D2DFEE" w:themeFill="accent1" w:themeFillTint="40"/>
      </w:tcPr>
    </w:tblStylePr>
    <w:tblStylePr w:type="firstCol">
      <w:rPr>
        <w:b/>
      </w:rPr>
      <w:tblPr/>
    </w:tblStylePr>
    <w:tblStylePr w:type="firstRow">
      <w:rPr>
        <w:b/>
        <w:sz w:val="22"/>
      </w:rPr>
      <w:tblPr/>
      <w:tcPr>
        <w:shd w:val="clear" w:color="4F81BD" w:fill="4F81BD" w:themeFill="accent1"/>
      </w:tcPr>
    </w:tblStylePr>
    <w:tblStylePr w:type="lastCol">
      <w:rPr>
        <w:b/>
      </w:rPr>
      <w:tblPr/>
    </w:tblStylePr>
    <w:tblStylePr w:type="lastRow">
      <w:rPr>
        <w:b/>
      </w:rPr>
      <w:tblPr/>
    </w:tblStylePr>
  </w:style>
  <w:style w:type="table" w:customStyle="1" w:styleId="1029">
    <w:name w:val="List Table 4 - Accent 2"/>
    <w:basedOn w:val="950"/>
    <w:uiPriority w:val="99"/>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tblBorders>
      <w:tblCellMar>
        <w:left w:w="108" w:type="dxa"/>
        <w:top w:w="0" w:type="dxa"/>
        <w:right w:w="108" w:type="dxa"/>
        <w:bottom w:w="0" w:type="dxa"/>
      </w:tblCellMar>
    </w:tblPr>
    <w:tblStylePr w:type="band1Horz">
      <w:rPr>
        <w:sz w:val="22"/>
      </w:rPr>
      <w:tblPr/>
      <w:tcPr>
        <w:shd w:val="clear" w:color="EFD2D2" w:fill="EFD2D2" w:themeFill="accent2" w:themeFillTint="40"/>
      </w:tcPr>
    </w:tblStylePr>
    <w:tblStylePr w:type="band1Vert">
      <w:rPr>
        <w:sz w:val="22"/>
      </w:rPr>
      <w:tblPr/>
      <w:tcPr>
        <w:shd w:val="clear" w:color="EFD2D2" w:fill="EFD2D2" w:themeFill="accent2" w:themeFillTint="40"/>
      </w:tcPr>
    </w:tblStylePr>
    <w:tblStylePr w:type="firstCol">
      <w:rPr>
        <w:b/>
      </w:rPr>
      <w:tblPr/>
    </w:tblStylePr>
    <w:tblStylePr w:type="firstRow">
      <w:rPr>
        <w:b/>
        <w:sz w:val="22"/>
      </w:rPr>
      <w:tblPr/>
      <w:tcPr>
        <w:shd w:val="clear" w:color="C0504D" w:fill="C0504D" w:themeFill="accent2"/>
      </w:tcPr>
    </w:tblStylePr>
    <w:tblStylePr w:type="lastCol">
      <w:rPr>
        <w:b/>
      </w:rPr>
      <w:tblPr/>
    </w:tblStylePr>
    <w:tblStylePr w:type="lastRow">
      <w:rPr>
        <w:b/>
      </w:rPr>
      <w:tblPr/>
    </w:tblStylePr>
  </w:style>
  <w:style w:type="table" w:customStyle="1" w:styleId="1030">
    <w:name w:val="List Table 4 - Accent 3"/>
    <w:basedOn w:val="950"/>
    <w:uiPriority w:val="99"/>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CellMar>
        <w:left w:w="108" w:type="dxa"/>
        <w:top w:w="0" w:type="dxa"/>
        <w:right w:w="108" w:type="dxa"/>
        <w:bottom w:w="0" w:type="dxa"/>
      </w:tblCellMar>
    </w:tblPr>
    <w:tblStylePr w:type="band1Horz">
      <w:rPr>
        <w:sz w:val="22"/>
      </w:rPr>
      <w:tblPr/>
      <w:tcPr>
        <w:shd w:val="clear" w:color="E5EED5" w:fill="E5EED5" w:themeFill="accent3" w:themeFillTint="40"/>
      </w:tcPr>
    </w:tblStylePr>
    <w:tblStylePr w:type="band1Vert">
      <w:rPr>
        <w:sz w:val="22"/>
      </w:rPr>
      <w:tblPr/>
      <w:tcPr>
        <w:shd w:val="clear" w:color="E5EED5" w:fill="E5EED5" w:themeFill="accent3" w:themeFillTint="40"/>
      </w:tcPr>
    </w:tblStylePr>
    <w:tblStylePr w:type="firstCol">
      <w:rPr>
        <w:b/>
      </w:rPr>
      <w:tblPr/>
    </w:tblStylePr>
    <w:tblStylePr w:type="firstRow">
      <w:rPr>
        <w:b/>
        <w:sz w:val="22"/>
      </w:rPr>
      <w:tblPr/>
      <w:tcPr>
        <w:shd w:val="clear" w:color="9BBB59" w:fill="9BBB59" w:themeFill="accent3"/>
      </w:tcPr>
    </w:tblStylePr>
    <w:tblStylePr w:type="lastCol">
      <w:rPr>
        <w:b/>
      </w:rPr>
      <w:tblPr/>
    </w:tblStylePr>
    <w:tblStylePr w:type="lastRow">
      <w:rPr>
        <w:b/>
      </w:rPr>
      <w:tblPr/>
    </w:tblStylePr>
  </w:style>
  <w:style w:type="table" w:customStyle="1" w:styleId="1031">
    <w:name w:val="List Table 4 - Accent 4"/>
    <w:basedOn w:val="950"/>
    <w:uiPriority w:val="99"/>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CellMar>
        <w:left w:w="108" w:type="dxa"/>
        <w:top w:w="0" w:type="dxa"/>
        <w:right w:w="108" w:type="dxa"/>
        <w:bottom w:w="0" w:type="dxa"/>
      </w:tblCellMar>
    </w:tblPr>
    <w:tblStylePr w:type="band1Horz">
      <w:rPr>
        <w:sz w:val="22"/>
      </w:rPr>
      <w:tblPr/>
      <w:tcPr>
        <w:shd w:val="clear" w:color="DFD8E7" w:fill="DFD8E7" w:themeFill="accent4" w:themeFillTint="40"/>
      </w:tcPr>
    </w:tblStylePr>
    <w:tblStylePr w:type="band1Vert">
      <w:rPr>
        <w:sz w:val="22"/>
      </w:rPr>
      <w:tblPr/>
      <w:tcPr>
        <w:shd w:val="clear" w:color="DFD8E7" w:fill="DFD8E7" w:themeFill="accent4" w:themeFillTint="40"/>
      </w:tcPr>
    </w:tblStylePr>
    <w:tblStylePr w:type="firstCol">
      <w:rPr>
        <w:b/>
      </w:rPr>
      <w:tblPr/>
    </w:tblStylePr>
    <w:tblStylePr w:type="firstRow">
      <w:rPr>
        <w:b/>
        <w:sz w:val="22"/>
      </w:rPr>
      <w:tblPr/>
      <w:tcPr>
        <w:shd w:val="clear" w:color="8064A2" w:fill="8064A2" w:themeFill="accent4"/>
      </w:tcPr>
    </w:tblStylePr>
    <w:tblStylePr w:type="lastCol">
      <w:rPr>
        <w:b/>
      </w:rPr>
      <w:tblPr/>
    </w:tblStylePr>
    <w:tblStylePr w:type="lastRow">
      <w:rPr>
        <w:b/>
      </w:rPr>
      <w:tblPr/>
    </w:tblStylePr>
  </w:style>
  <w:style w:type="table" w:customStyle="1" w:styleId="1032">
    <w:name w:val="List Table 4 - Accent 5"/>
    <w:basedOn w:val="950"/>
    <w:uiPriority w:val="99"/>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CellMar>
        <w:left w:w="108" w:type="dxa"/>
        <w:top w:w="0" w:type="dxa"/>
        <w:right w:w="108" w:type="dxa"/>
        <w:bottom w:w="0" w:type="dxa"/>
      </w:tblCellMar>
    </w:tblPr>
    <w:tblStylePr w:type="band1Horz">
      <w:rPr>
        <w:sz w:val="22"/>
      </w:rPr>
      <w:tblPr/>
      <w:tcPr>
        <w:shd w:val="clear" w:color="D1EAF0" w:fill="D1EAF0" w:themeFill="accent5" w:themeFillTint="40"/>
      </w:tcPr>
    </w:tblStylePr>
    <w:tblStylePr w:type="band1Vert">
      <w:rPr>
        <w:sz w:val="22"/>
      </w:rPr>
      <w:tblPr/>
      <w:tcPr>
        <w:shd w:val="clear" w:color="D1EAF0" w:fill="D1EAF0" w:themeFill="accent5" w:themeFillTint="40"/>
      </w:tcPr>
    </w:tblStylePr>
    <w:tblStylePr w:type="firstCol">
      <w:rPr>
        <w:b/>
      </w:rPr>
      <w:tblPr/>
    </w:tblStylePr>
    <w:tblStylePr w:type="firstRow">
      <w:rPr>
        <w:b/>
        <w:sz w:val="22"/>
      </w:rPr>
      <w:tblPr/>
      <w:tcPr>
        <w:shd w:val="clear" w:color="4BACC6" w:fill="4BACC6" w:themeFill="accent5"/>
      </w:tcPr>
    </w:tblStylePr>
    <w:tblStylePr w:type="lastCol">
      <w:rPr>
        <w:b/>
      </w:rPr>
      <w:tblPr/>
    </w:tblStylePr>
    <w:tblStylePr w:type="lastRow">
      <w:rPr>
        <w:b/>
      </w:rPr>
      <w:tblPr/>
    </w:tblStylePr>
  </w:style>
  <w:style w:type="table" w:customStyle="1" w:styleId="1033">
    <w:name w:val="List Table 4 - Accent 6"/>
    <w:basedOn w:val="950"/>
    <w:uiPriority w:val="99"/>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CellMar>
        <w:left w:w="108" w:type="dxa"/>
        <w:top w:w="0" w:type="dxa"/>
        <w:right w:w="108" w:type="dxa"/>
        <w:bottom w:w="0" w:type="dxa"/>
      </w:tblCellMar>
    </w:tblPr>
    <w:tblStylePr w:type="band1Horz">
      <w:rPr>
        <w:sz w:val="22"/>
      </w:rPr>
      <w:tblPr/>
      <w:tcPr>
        <w:shd w:val="clear" w:color="FDE4D0" w:fill="FDE4D0" w:themeFill="accent6" w:themeFillTint="40"/>
      </w:tcPr>
    </w:tblStylePr>
    <w:tblStylePr w:type="band1Vert">
      <w:rPr>
        <w:sz w:val="22"/>
      </w:rPr>
      <w:tblPr/>
      <w:tcPr>
        <w:shd w:val="clear" w:color="FDE4D0" w:fill="FDE4D0" w:themeFill="accent6" w:themeFillTint="40"/>
      </w:tcPr>
    </w:tblStylePr>
    <w:tblStylePr w:type="firstCol">
      <w:rPr>
        <w:b/>
      </w:rPr>
      <w:tblPr/>
    </w:tblStylePr>
    <w:tblStylePr w:type="firstRow">
      <w:rPr>
        <w:b/>
        <w:sz w:val="22"/>
      </w:rPr>
      <w:tblPr/>
      <w:tcPr>
        <w:shd w:val="clear" w:color="F79646" w:fill="F79646" w:themeFill="accent6"/>
      </w:tcPr>
    </w:tblStylePr>
    <w:tblStylePr w:type="lastCol">
      <w:rPr>
        <w:b/>
      </w:rPr>
      <w:tblPr/>
    </w:tblStylePr>
    <w:tblStylePr w:type="lastRow">
      <w:rPr>
        <w:b/>
      </w:rPr>
      <w:tblPr/>
    </w:tblStylePr>
  </w:style>
  <w:style w:type="table" w:customStyle="1" w:styleId="1034">
    <w:name w:val="List Table 5 Dark"/>
    <w:basedOn w:val="950"/>
    <w:uiPriority w:val="99"/>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tblCellMar>
        <w:left w:w="108" w:type="dxa"/>
        <w:top w:w="0" w:type="dxa"/>
        <w:right w:w="108" w:type="dxa"/>
        <w:bottom w:w="0" w:type="dxa"/>
      </w:tblCellMar>
    </w:tblPr>
    <w:tblStylePr w:type="band1Horz">
      <w:tblPr/>
      <w:tcPr>
        <w:tcBorders>
          <w:top w:val="single" w:color="FFFFFF" w:themeColor="light1" w:sz="4" w:space="0"/>
          <w:bottom w:val="single" w:color="FFFFFF" w:themeColor="light1" w:sz="4" w:space="0"/>
        </w:tcBorders>
        <w:shd w:val="clear" w:color="7F7F7F" w:fill="7F7F7F" w:themeFill="text1" w:themeFillTint="80"/>
      </w:tcPr>
    </w:tblStylePr>
    <w:tblStylePr w:type="band1Vert">
      <w:tblPr/>
      <w:tcPr>
        <w:tcBorders>
          <w:left w:val="single" w:color="FFFFFF" w:themeColor="light1" w:sz="4" w:space="0"/>
          <w:right w:val="single" w:color="FFFFFF" w:themeColor="light1" w:sz="4" w:space="0"/>
        </w:tcBorders>
        <w:shd w:val="clear" w:color="7F7F7F" w:fill="7F7F7F" w:themeFill="text1" w:themeFillTint="80"/>
      </w:tcPr>
    </w:tblStylePr>
    <w:tblStylePr w:type="band2Horz">
      <w:tblPr/>
      <w:tcPr>
        <w:tcBorders>
          <w:top w:val="single" w:color="FFFFFF" w:themeColor="light1" w:sz="4" w:space="0"/>
          <w:bottom w:val="single" w:color="FFFFFF" w:themeColor="light1" w:sz="4" w:space="0"/>
        </w:tcBorders>
        <w:shd w:val="clear" w:color="7F7F7F" w:fill="7F7F7F" w:themeFill="text1" w:themeFillTint="80"/>
      </w:tcPr>
    </w:tblStylePr>
    <w:tblStylePr w:type="band2Vert">
      <w:tblPr/>
      <w:tcPr>
        <w:tcBorders>
          <w:left w:val="single" w:color="FFFFFF" w:themeColor="light1" w:sz="4" w:space="0"/>
          <w:right w:val="single" w:color="FFFFFF" w:themeColor="light1" w:sz="4" w:space="0"/>
        </w:tcBorders>
      </w:tcPr>
    </w:tblStylePr>
    <w:tblStylePr w:type="firstCol">
      <w:rPr>
        <w:b/>
        <w:color w:themeColor="light1"/>
        <w:sz w:val="22"/>
      </w:rPr>
      <w:tblPr/>
      <w:tcPr>
        <w:tcBorders>
          <w:left w:val="single" w:color="7F7F7F" w:themeColor="text1" w:sz="32" w:space="0"/>
          <w:right w:val="single" w:color="FFFFFF" w:themeColor="light1" w:sz="4" w:space="0"/>
        </w:tcBorders>
      </w:tcPr>
    </w:tblStylePr>
    <w:tblStylePr w:type="firstRow">
      <w:rPr>
        <w:b/>
        <w:color w:themeColor="light1"/>
        <w:sz w:val="22"/>
      </w:rPr>
      <w:tblPr/>
      <w:tcPr>
        <w:tcBorders>
          <w:top w:val="single" w:color="7F7F7F" w:themeColor="text1" w:sz="32" w:space="0"/>
          <w:bottom w:val="single" w:color="FFFFFF" w:themeColor="light1" w:sz="12" w:space="0"/>
        </w:tcBorders>
        <w:shd w:val="clear" w:color="7F7F7F" w:fill="7F7F7F" w:themeFill="text1" w:themeFillTint="80"/>
      </w:tcPr>
    </w:tblStylePr>
    <w:tblStylePr w:type="lastCol">
      <w:tblPr/>
      <w:tcPr>
        <w:tcBorders>
          <w:left w:val="single" w:color="FFFFFF" w:themeColor="light1" w:sz="4" w:space="0"/>
          <w:right w:val="single" w:color="7F7F7F" w:themeColor="text1" w:sz="32" w:space="0"/>
        </w:tcBorders>
      </w:tcPr>
    </w:tblStylePr>
    <w:tblStylePr w:type="lastRow">
      <w:rPr>
        <w:b/>
        <w:color w:themeColor="light1"/>
        <w:sz w:val="22"/>
      </w:rPr>
      <w:tblPr/>
    </w:tblStylePr>
  </w:style>
  <w:style w:type="table" w:customStyle="1" w:styleId="1035">
    <w:name w:val="List Table 5 Dark - Accent 1"/>
    <w:basedOn w:val="950"/>
    <w:uiPriority w:val="99"/>
    <w:tblPr>
      <w:tblStyleRowBandSize w:val="1"/>
      <w:tblStyleColBandSize w:val="1"/>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tblCellMar>
        <w:left w:w="108" w:type="dxa"/>
        <w:top w:w="0" w:type="dxa"/>
        <w:right w:w="108" w:type="dxa"/>
        <w:bottom w:w="0" w:type="dxa"/>
      </w:tblCellMar>
    </w:tblPr>
    <w:tblStylePr w:type="band1Horz">
      <w:tblPr/>
      <w:tcPr>
        <w:tcBorders>
          <w:top w:val="single" w:color="FFFFFF" w:themeColor="light1" w:sz="4" w:space="0"/>
          <w:bottom w:val="single" w:color="FFFFFF" w:themeColor="light1" w:sz="4" w:space="0"/>
        </w:tcBorders>
        <w:shd w:val="clear" w:color="4F81BD" w:fill="4F81BD" w:themeFill="accent1"/>
      </w:tcPr>
    </w:tblStylePr>
    <w:tblStylePr w:type="band1Vert">
      <w:tblPr/>
      <w:tcPr>
        <w:tcBorders>
          <w:left w:val="single" w:color="FFFFFF" w:themeColor="light1" w:sz="4" w:space="0"/>
          <w:right w:val="single" w:color="FFFFFF" w:themeColor="light1" w:sz="4" w:space="0"/>
        </w:tcBorders>
        <w:shd w:val="clear" w:color="4F81BD" w:fill="4F81BD" w:themeFill="accent1"/>
      </w:tcPr>
    </w:tblStylePr>
    <w:tblStylePr w:type="band2Horz">
      <w:tblPr/>
      <w:tcPr>
        <w:tcBorders>
          <w:top w:val="single" w:color="FFFFFF" w:themeColor="light1" w:sz="4" w:space="0"/>
          <w:bottom w:val="single" w:color="FFFFFF" w:themeColor="light1" w:sz="4" w:space="0"/>
        </w:tcBorders>
        <w:shd w:val="clear" w:color="4F81BD" w:fill="4F81BD" w:themeFill="accent1"/>
      </w:tcPr>
    </w:tblStylePr>
    <w:tblStylePr w:type="band2Vert">
      <w:tblPr/>
      <w:tcPr>
        <w:tcBorders>
          <w:left w:val="single" w:color="FFFFFF" w:themeColor="light1" w:sz="4" w:space="0"/>
          <w:right w:val="single" w:color="FFFFFF" w:themeColor="light1" w:sz="4" w:space="0"/>
        </w:tcBorders>
      </w:tcPr>
    </w:tblStylePr>
    <w:tblStylePr w:type="firstCol">
      <w:rPr>
        <w:b/>
        <w:color w:themeColor="light1"/>
        <w:sz w:val="22"/>
      </w:rPr>
      <w:tblPr/>
      <w:tcPr>
        <w:tcBorders>
          <w:left w:val="single" w:color="4F81BD" w:themeColor="accent1" w:sz="32" w:space="0"/>
          <w:right w:val="single" w:color="FFFFFF" w:themeColor="light1" w:sz="4" w:space="0"/>
        </w:tcBorders>
      </w:tcPr>
    </w:tblStylePr>
    <w:tblStylePr w:type="firstRow">
      <w:rPr>
        <w:b/>
        <w:color w:themeColor="light1"/>
        <w:sz w:val="22"/>
      </w:rPr>
      <w:tblPr/>
      <w:tcPr>
        <w:tcBorders>
          <w:top w:val="single" w:color="4F81BD" w:themeColor="accent1" w:sz="32" w:space="0"/>
          <w:bottom w:val="single" w:color="FFFFFF" w:themeColor="light1" w:sz="12" w:space="0"/>
        </w:tcBorders>
        <w:shd w:val="clear" w:color="4F81BD" w:fill="4F81BD" w:themeFill="accent1"/>
      </w:tcPr>
    </w:tblStylePr>
    <w:tblStylePr w:type="lastCol">
      <w:tblPr/>
      <w:tcPr>
        <w:tcBorders>
          <w:left w:val="single" w:color="FFFFFF" w:themeColor="light1" w:sz="4" w:space="0"/>
          <w:right w:val="single" w:color="4F81BD" w:themeColor="accent1" w:sz="32" w:space="0"/>
        </w:tcBorders>
      </w:tcPr>
    </w:tblStylePr>
    <w:tblStylePr w:type="lastRow">
      <w:rPr>
        <w:b/>
        <w:color w:themeColor="light1"/>
        <w:sz w:val="22"/>
      </w:rPr>
      <w:tblPr/>
    </w:tblStylePr>
  </w:style>
  <w:style w:type="table" w:customStyle="1" w:styleId="1036">
    <w:name w:val="List Table 5 Dark - Accent 2"/>
    <w:basedOn w:val="950"/>
    <w:uiPriority w:val="99"/>
    <w:tblPr>
      <w:tblStyleRowBandSize w:val="1"/>
      <w:tblStyleColBandSize w:val="1"/>
      <w:tblBorders>
        <w:top w:val="single" w:color="D99695" w:themeColor="accent2" w:themeTint="97" w:sz="32" w:space="0"/>
        <w:left w:val="single" w:color="D99695" w:themeColor="accent2" w:themeTint="97" w:sz="32" w:space="0"/>
        <w:bottom w:val="single" w:color="D99695" w:themeColor="accent2" w:themeTint="97" w:sz="32" w:space="0"/>
        <w:right w:val="single" w:color="D99695" w:themeColor="accent2" w:themeTint="97" w:sz="32" w:space="0"/>
      </w:tblBorders>
      <w:tblCellMar>
        <w:left w:w="108" w:type="dxa"/>
        <w:top w:w="0" w:type="dxa"/>
        <w:right w:w="108" w:type="dxa"/>
        <w:bottom w:w="0" w:type="dxa"/>
      </w:tblCellMar>
    </w:tblPr>
    <w:tblStylePr w:type="band1Horz">
      <w:tblPr/>
      <w:tcPr>
        <w:tcBorders>
          <w:top w:val="single" w:color="FFFFFF" w:themeColor="light1" w:sz="4" w:space="0"/>
          <w:bottom w:val="single" w:color="FFFFFF" w:themeColor="light1" w:sz="4" w:space="0"/>
        </w:tcBorders>
        <w:shd w:val="clear" w:color="D99695" w:fill="D99695" w:themeFill="accent2" w:themeFillTint="97"/>
      </w:tcPr>
    </w:tblStylePr>
    <w:tblStylePr w:type="band1Vert">
      <w:tblPr/>
      <w:tcPr>
        <w:tcBorders>
          <w:left w:val="single" w:color="FFFFFF" w:themeColor="light1" w:sz="4" w:space="0"/>
          <w:right w:val="single" w:color="FFFFFF" w:themeColor="light1" w:sz="4" w:space="0"/>
        </w:tcBorders>
        <w:shd w:val="clear" w:color="D99695" w:fill="D99695" w:themeFill="accent2" w:themeFillTint="97"/>
      </w:tcPr>
    </w:tblStylePr>
    <w:tblStylePr w:type="band2Horz">
      <w:tblPr/>
      <w:tcPr>
        <w:tcBorders>
          <w:top w:val="single" w:color="FFFFFF" w:themeColor="light1" w:sz="4" w:space="0"/>
          <w:bottom w:val="single" w:color="FFFFFF" w:themeColor="light1" w:sz="4" w:space="0"/>
        </w:tcBorders>
        <w:shd w:val="clear" w:color="D99695" w:fill="D99695" w:themeFill="accent2" w:themeFillTint="97"/>
      </w:tcPr>
    </w:tblStylePr>
    <w:tblStylePr w:type="band2Vert">
      <w:tblPr/>
      <w:tcPr>
        <w:tcBorders>
          <w:left w:val="single" w:color="FFFFFF" w:themeColor="light1" w:sz="4" w:space="0"/>
          <w:right w:val="single" w:color="FFFFFF" w:themeColor="light1" w:sz="4" w:space="0"/>
        </w:tcBorders>
      </w:tcPr>
    </w:tblStylePr>
    <w:tblStylePr w:type="firstCol">
      <w:rPr>
        <w:b/>
        <w:color w:themeColor="light1"/>
        <w:sz w:val="22"/>
      </w:rPr>
      <w:tblPr/>
      <w:tcPr>
        <w:tcBorders>
          <w:left w:val="single" w:color="D99695" w:themeColor="accent2" w:sz="32" w:space="0"/>
          <w:right w:val="single" w:color="FFFFFF" w:themeColor="light1" w:sz="4" w:space="0"/>
        </w:tcBorders>
      </w:tcPr>
    </w:tblStylePr>
    <w:tblStylePr w:type="firstRow">
      <w:rPr>
        <w:b/>
        <w:color w:themeColor="light1"/>
        <w:sz w:val="22"/>
      </w:rPr>
      <w:tblPr/>
      <w:tcPr>
        <w:tcBorders>
          <w:top w:val="single" w:color="D99695" w:themeColor="accent2" w:sz="32" w:space="0"/>
          <w:bottom w:val="single" w:color="FFFFFF" w:themeColor="light1" w:sz="12" w:space="0"/>
        </w:tcBorders>
        <w:shd w:val="clear" w:color="D99695" w:fill="D99695" w:themeFill="accent2" w:themeFillTint="97"/>
      </w:tcPr>
    </w:tblStylePr>
    <w:tblStylePr w:type="lastCol">
      <w:tblPr/>
      <w:tcPr>
        <w:tcBorders>
          <w:left w:val="single" w:color="FFFFFF" w:themeColor="light1" w:sz="4" w:space="0"/>
          <w:right w:val="single" w:color="D99695" w:themeColor="accent2" w:sz="32" w:space="0"/>
        </w:tcBorders>
      </w:tcPr>
    </w:tblStylePr>
    <w:tblStylePr w:type="lastRow">
      <w:rPr>
        <w:b/>
        <w:color w:themeColor="light1"/>
        <w:sz w:val="22"/>
      </w:rPr>
      <w:tblPr/>
    </w:tblStylePr>
  </w:style>
  <w:style w:type="table" w:customStyle="1" w:styleId="1037">
    <w:name w:val="List Table 5 Dark - Accent 3"/>
    <w:basedOn w:val="950"/>
    <w:uiPriority w:val="99"/>
    <w:tblPr>
      <w:tblStyleRowBandSize w:val="1"/>
      <w:tblStyleColBandSize w:val="1"/>
      <w:tblBorders>
        <w:top w:val="single" w:color="C3D69B" w:themeColor="accent3" w:themeTint="98" w:sz="32" w:space="0"/>
        <w:left w:val="single" w:color="C3D69B" w:themeColor="accent3" w:themeTint="98" w:sz="32" w:space="0"/>
        <w:bottom w:val="single" w:color="C3D69B" w:themeColor="accent3" w:themeTint="98" w:sz="32" w:space="0"/>
        <w:right w:val="single" w:color="C3D69B" w:themeColor="accent3" w:themeTint="98" w:sz="32" w:space="0"/>
      </w:tblBorders>
      <w:tblCellMar>
        <w:left w:w="108" w:type="dxa"/>
        <w:top w:w="0" w:type="dxa"/>
        <w:right w:w="108" w:type="dxa"/>
        <w:bottom w:w="0" w:type="dxa"/>
      </w:tblCellMar>
    </w:tblPr>
    <w:tblStylePr w:type="band1Horz">
      <w:tblPr/>
      <w:tcPr>
        <w:tcBorders>
          <w:top w:val="single" w:color="FFFFFF" w:themeColor="light1" w:sz="4" w:space="0"/>
          <w:bottom w:val="single" w:color="FFFFFF" w:themeColor="light1" w:sz="4" w:space="0"/>
        </w:tcBorders>
        <w:shd w:val="clear" w:color="C3D69B" w:fill="C3D69B" w:themeFill="accent3" w:themeFillTint="98"/>
      </w:tcPr>
    </w:tblStylePr>
    <w:tblStylePr w:type="band1Vert">
      <w:tblPr/>
      <w:tcPr>
        <w:tcBorders>
          <w:left w:val="single" w:color="FFFFFF" w:themeColor="light1" w:sz="4" w:space="0"/>
          <w:right w:val="single" w:color="FFFFFF" w:themeColor="light1" w:sz="4" w:space="0"/>
        </w:tcBorders>
        <w:shd w:val="clear" w:color="C3D69B" w:fill="C3D69B" w:themeFill="accent3" w:themeFillTint="98"/>
      </w:tcPr>
    </w:tblStylePr>
    <w:tblStylePr w:type="band2Horz">
      <w:tblPr/>
      <w:tcPr>
        <w:tcBorders>
          <w:top w:val="single" w:color="FFFFFF" w:themeColor="light1" w:sz="4" w:space="0"/>
          <w:bottom w:val="single" w:color="FFFFFF" w:themeColor="light1" w:sz="4" w:space="0"/>
        </w:tcBorders>
        <w:shd w:val="clear" w:color="C3D69B" w:fill="C3D69B" w:themeFill="accent3" w:themeFillTint="98"/>
      </w:tcPr>
    </w:tblStylePr>
    <w:tblStylePr w:type="band2Vert">
      <w:tblPr/>
      <w:tcPr>
        <w:tcBorders>
          <w:left w:val="single" w:color="FFFFFF" w:themeColor="light1" w:sz="4" w:space="0"/>
          <w:right w:val="single" w:color="FFFFFF" w:themeColor="light1" w:sz="4" w:space="0"/>
        </w:tcBorders>
      </w:tcPr>
    </w:tblStylePr>
    <w:tblStylePr w:type="firstCol">
      <w:rPr>
        <w:b/>
        <w:color w:themeColor="light1"/>
        <w:sz w:val="22"/>
      </w:rPr>
      <w:tblPr/>
      <w:tcPr>
        <w:tcBorders>
          <w:left w:val="single" w:color="C3D69B" w:themeColor="accent3" w:sz="32" w:space="0"/>
          <w:right w:val="single" w:color="FFFFFF" w:themeColor="light1" w:sz="4" w:space="0"/>
        </w:tcBorders>
      </w:tcPr>
    </w:tblStylePr>
    <w:tblStylePr w:type="firstRow">
      <w:rPr>
        <w:b/>
        <w:color w:themeColor="light1"/>
        <w:sz w:val="22"/>
      </w:rPr>
      <w:tblPr/>
      <w:tcPr>
        <w:tcBorders>
          <w:top w:val="single" w:color="C3D69B" w:themeColor="accent3" w:sz="32" w:space="0"/>
          <w:bottom w:val="single" w:color="FFFFFF" w:themeColor="light1" w:sz="12" w:space="0"/>
        </w:tcBorders>
        <w:shd w:val="clear" w:color="C3D69B" w:fill="C3D69B" w:themeFill="accent3" w:themeFillTint="98"/>
      </w:tcPr>
    </w:tblStylePr>
    <w:tblStylePr w:type="lastCol">
      <w:tblPr/>
      <w:tcPr>
        <w:tcBorders>
          <w:left w:val="single" w:color="FFFFFF" w:themeColor="light1" w:sz="4" w:space="0"/>
          <w:right w:val="single" w:color="C3D69B" w:themeColor="accent3" w:sz="32" w:space="0"/>
        </w:tcBorders>
      </w:tcPr>
    </w:tblStylePr>
    <w:tblStylePr w:type="lastRow">
      <w:rPr>
        <w:b/>
        <w:color w:themeColor="light1"/>
        <w:sz w:val="22"/>
      </w:rPr>
      <w:tblPr/>
    </w:tblStylePr>
  </w:style>
  <w:style w:type="table" w:customStyle="1" w:styleId="1038">
    <w:name w:val="List Table 5 Dark - Accent 4"/>
    <w:basedOn w:val="950"/>
    <w:uiPriority w:val="99"/>
    <w:tblPr>
      <w:tblStyleRowBandSize w:val="1"/>
      <w:tblStyleColBandSize w:val="1"/>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tblCellMar>
        <w:left w:w="108" w:type="dxa"/>
        <w:top w:w="0" w:type="dxa"/>
        <w:right w:w="108" w:type="dxa"/>
        <w:bottom w:w="0" w:type="dxa"/>
      </w:tblCellMar>
    </w:tblPr>
    <w:tblStylePr w:type="band1Horz">
      <w:tblPr/>
      <w:tcPr>
        <w:tcBorders>
          <w:top w:val="single" w:color="FFFFFF" w:themeColor="light1" w:sz="4" w:space="0"/>
          <w:bottom w:val="single" w:color="FFFFFF" w:themeColor="light1" w:sz="4" w:space="0"/>
        </w:tcBorders>
        <w:shd w:val="clear" w:color="B2A1C6" w:fill="B2A1C6" w:themeFill="accent4" w:themeFillTint="9a"/>
      </w:tcPr>
    </w:tblStylePr>
    <w:tblStylePr w:type="band1Vert">
      <w:tblPr/>
      <w:tcPr>
        <w:tcBorders>
          <w:left w:val="single" w:color="FFFFFF" w:themeColor="light1" w:sz="4" w:space="0"/>
          <w:right w:val="single" w:color="FFFFFF" w:themeColor="light1" w:sz="4" w:space="0"/>
        </w:tcBorders>
        <w:shd w:val="clear" w:color="B2A1C6" w:fill="B2A1C6" w:themeFill="accent4" w:themeFillTint="9a"/>
      </w:tcPr>
    </w:tblStylePr>
    <w:tblStylePr w:type="band2Horz">
      <w:tblPr/>
      <w:tcPr>
        <w:tcBorders>
          <w:top w:val="single" w:color="FFFFFF" w:themeColor="light1" w:sz="4" w:space="0"/>
          <w:bottom w:val="single" w:color="FFFFFF" w:themeColor="light1" w:sz="4" w:space="0"/>
        </w:tcBorders>
        <w:shd w:val="clear" w:color="B2A1C6" w:fill="B2A1C6" w:themeFill="accent4" w:themeFillTint="9a"/>
      </w:tcPr>
    </w:tblStylePr>
    <w:tblStylePr w:type="band2Vert">
      <w:tblPr/>
      <w:tcPr>
        <w:tcBorders>
          <w:left w:val="single" w:color="FFFFFF" w:themeColor="light1" w:sz="4" w:space="0"/>
          <w:right w:val="single" w:color="FFFFFF" w:themeColor="light1" w:sz="4" w:space="0"/>
        </w:tcBorders>
      </w:tcPr>
    </w:tblStylePr>
    <w:tblStylePr w:type="firstCol">
      <w:rPr>
        <w:b/>
        <w:color w:themeColor="light1"/>
        <w:sz w:val="22"/>
      </w:rPr>
      <w:tblPr/>
      <w:tcPr>
        <w:tcBorders>
          <w:left w:val="single" w:color="B2A1C6" w:themeColor="accent4" w:sz="32" w:space="0"/>
          <w:right w:val="single" w:color="FFFFFF" w:themeColor="light1" w:sz="4" w:space="0"/>
        </w:tcBorders>
      </w:tcPr>
    </w:tblStylePr>
    <w:tblStylePr w:type="firstRow">
      <w:rPr>
        <w:b/>
        <w:color w:themeColor="light1"/>
        <w:sz w:val="22"/>
      </w:rPr>
      <w:tblPr/>
      <w:tcPr>
        <w:tcBorders>
          <w:top w:val="single" w:color="B2A1C6" w:themeColor="accent4" w:sz="32" w:space="0"/>
          <w:bottom w:val="single" w:color="FFFFFF" w:themeColor="light1" w:sz="12" w:space="0"/>
        </w:tcBorders>
        <w:shd w:val="clear" w:color="B2A1C6" w:fill="B2A1C6" w:themeFill="accent4" w:themeFillTint="9a"/>
      </w:tcPr>
    </w:tblStylePr>
    <w:tblStylePr w:type="lastCol">
      <w:tblPr/>
      <w:tcPr>
        <w:tcBorders>
          <w:left w:val="single" w:color="FFFFFF" w:themeColor="light1" w:sz="4" w:space="0"/>
          <w:right w:val="single" w:color="B2A1C6" w:themeColor="accent4" w:sz="32" w:space="0"/>
        </w:tcBorders>
      </w:tcPr>
    </w:tblStylePr>
    <w:tblStylePr w:type="lastRow">
      <w:rPr>
        <w:b/>
        <w:color w:themeColor="light1"/>
        <w:sz w:val="22"/>
      </w:rPr>
      <w:tblPr/>
    </w:tblStylePr>
  </w:style>
  <w:style w:type="table" w:customStyle="1" w:styleId="1039">
    <w:name w:val="List Table 5 Dark - Accent 5"/>
    <w:basedOn w:val="950"/>
    <w:uiPriority w:val="99"/>
    <w:tblPr>
      <w:tblStyleRowBandSize w:val="1"/>
      <w:tblStyleColBandSize w:val="1"/>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tblCellMar>
        <w:left w:w="108" w:type="dxa"/>
        <w:top w:w="0" w:type="dxa"/>
        <w:right w:w="108" w:type="dxa"/>
        <w:bottom w:w="0" w:type="dxa"/>
      </w:tblCellMar>
    </w:tblPr>
    <w:tblStylePr w:type="band1Horz">
      <w:tblPr/>
      <w:tcPr>
        <w:tcBorders>
          <w:top w:val="single" w:color="FFFFFF" w:themeColor="light1" w:sz="4" w:space="0"/>
          <w:bottom w:val="single" w:color="FFFFFF" w:themeColor="light1" w:sz="4" w:space="0"/>
        </w:tcBorders>
        <w:shd w:val="clear" w:color="92CCDC" w:fill="92CCDC" w:themeFill="accent5" w:themeFillTint="9a"/>
      </w:tcPr>
    </w:tblStylePr>
    <w:tblStylePr w:type="band1Vert">
      <w:tblPr/>
      <w:tcPr>
        <w:tcBorders>
          <w:left w:val="single" w:color="FFFFFF" w:themeColor="light1" w:sz="4" w:space="0"/>
          <w:right w:val="single" w:color="FFFFFF" w:themeColor="light1" w:sz="4" w:space="0"/>
        </w:tcBorders>
        <w:shd w:val="clear" w:color="92CCDC" w:fill="92CCDC" w:themeFill="accent5" w:themeFillTint="9a"/>
      </w:tcPr>
    </w:tblStylePr>
    <w:tblStylePr w:type="band2Horz">
      <w:tblPr/>
      <w:tcPr>
        <w:tcBorders>
          <w:top w:val="single" w:color="FFFFFF" w:themeColor="light1" w:sz="4" w:space="0"/>
          <w:bottom w:val="single" w:color="FFFFFF" w:themeColor="light1" w:sz="4" w:space="0"/>
        </w:tcBorders>
        <w:shd w:val="clear" w:color="92CCDC" w:fill="92CCDC" w:themeFill="accent5" w:themeFillTint="9a"/>
      </w:tcPr>
    </w:tblStylePr>
    <w:tblStylePr w:type="band2Vert">
      <w:tblPr/>
      <w:tcPr>
        <w:tcBorders>
          <w:left w:val="single" w:color="FFFFFF" w:themeColor="light1" w:sz="4" w:space="0"/>
          <w:right w:val="single" w:color="FFFFFF" w:themeColor="light1" w:sz="4" w:space="0"/>
        </w:tcBorders>
      </w:tcPr>
    </w:tblStylePr>
    <w:tblStylePr w:type="firstCol">
      <w:rPr>
        <w:b/>
        <w:color w:themeColor="light1"/>
        <w:sz w:val="22"/>
      </w:rPr>
      <w:tblPr/>
      <w:tcPr>
        <w:tcBorders>
          <w:left w:val="single" w:color="92CCDC" w:themeColor="accent5" w:sz="32" w:space="0"/>
          <w:right w:val="single" w:color="FFFFFF" w:themeColor="light1" w:sz="4" w:space="0"/>
        </w:tcBorders>
      </w:tcPr>
    </w:tblStylePr>
    <w:tblStylePr w:type="firstRow">
      <w:rPr>
        <w:b/>
        <w:color w:themeColor="light1"/>
        <w:sz w:val="22"/>
      </w:rPr>
      <w:tblPr/>
      <w:tcPr>
        <w:tcBorders>
          <w:top w:val="single" w:color="92CCDC" w:themeColor="accent5" w:sz="32" w:space="0"/>
          <w:bottom w:val="single" w:color="FFFFFF" w:themeColor="light1" w:sz="12" w:space="0"/>
        </w:tcBorders>
        <w:shd w:val="clear" w:color="92CCDC" w:fill="92CCDC" w:themeFill="accent5" w:themeFillTint="9a"/>
      </w:tcPr>
    </w:tblStylePr>
    <w:tblStylePr w:type="lastCol">
      <w:tblPr/>
      <w:tcPr>
        <w:tcBorders>
          <w:left w:val="single" w:color="FFFFFF" w:themeColor="light1" w:sz="4" w:space="0"/>
          <w:right w:val="single" w:color="92CCDC" w:themeColor="accent5" w:sz="32" w:space="0"/>
        </w:tcBorders>
      </w:tcPr>
    </w:tblStylePr>
    <w:tblStylePr w:type="lastRow">
      <w:rPr>
        <w:b/>
        <w:color w:themeColor="light1"/>
        <w:sz w:val="22"/>
      </w:rPr>
      <w:tblPr/>
    </w:tblStylePr>
  </w:style>
  <w:style w:type="table" w:customStyle="1" w:styleId="1040">
    <w:name w:val="List Table 5 Dark - Accent 6"/>
    <w:basedOn w:val="950"/>
    <w:uiPriority w:val="99"/>
    <w:tblPr>
      <w:tblStyleRowBandSize w:val="1"/>
      <w:tblStyleColBandSize w:val="1"/>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tblCellMar>
        <w:left w:w="108" w:type="dxa"/>
        <w:top w:w="0" w:type="dxa"/>
        <w:right w:w="108" w:type="dxa"/>
        <w:bottom w:w="0" w:type="dxa"/>
      </w:tblCellMar>
    </w:tblPr>
    <w:tblStylePr w:type="band1Horz">
      <w:tblPr/>
      <w:tcPr>
        <w:tcBorders>
          <w:top w:val="single" w:color="FFFFFF" w:themeColor="light1" w:sz="4" w:space="0"/>
          <w:bottom w:val="single" w:color="FFFFFF" w:themeColor="light1" w:sz="4" w:space="0"/>
        </w:tcBorders>
        <w:shd w:val="clear" w:color="FAC090" w:fill="FAC090" w:themeFill="accent6" w:themeFillTint="98"/>
      </w:tcPr>
    </w:tblStylePr>
    <w:tblStylePr w:type="band1Vert">
      <w:tblPr/>
      <w:tcPr>
        <w:tcBorders>
          <w:left w:val="single" w:color="FFFFFF" w:themeColor="light1" w:sz="4" w:space="0"/>
          <w:right w:val="single" w:color="FFFFFF" w:themeColor="light1" w:sz="4" w:space="0"/>
        </w:tcBorders>
        <w:shd w:val="clear" w:color="FAC090" w:fill="FAC090" w:themeFill="accent6" w:themeFillTint="98"/>
      </w:tcPr>
    </w:tblStylePr>
    <w:tblStylePr w:type="band2Horz">
      <w:tblPr/>
      <w:tcPr>
        <w:tcBorders>
          <w:top w:val="single" w:color="FFFFFF" w:themeColor="light1" w:sz="4" w:space="0"/>
          <w:bottom w:val="single" w:color="FFFFFF" w:themeColor="light1" w:sz="4" w:space="0"/>
        </w:tcBorders>
        <w:shd w:val="clear" w:color="FAC090" w:fill="FAC090" w:themeFill="accent6" w:themeFillTint="98"/>
      </w:tcPr>
    </w:tblStylePr>
    <w:tblStylePr w:type="band2Vert">
      <w:tblPr/>
      <w:tcPr>
        <w:tcBorders>
          <w:left w:val="single" w:color="FFFFFF" w:themeColor="light1" w:sz="4" w:space="0"/>
          <w:right w:val="single" w:color="FFFFFF" w:themeColor="light1" w:sz="4" w:space="0"/>
        </w:tcBorders>
      </w:tcPr>
    </w:tblStylePr>
    <w:tblStylePr w:type="firstCol">
      <w:rPr>
        <w:b/>
        <w:color w:themeColor="light1"/>
        <w:sz w:val="22"/>
      </w:rPr>
      <w:tblPr/>
      <w:tcPr>
        <w:tcBorders>
          <w:left w:val="single" w:color="FAC090" w:themeColor="accent6" w:sz="32" w:space="0"/>
          <w:right w:val="single" w:color="FFFFFF" w:themeColor="light1" w:sz="4" w:space="0"/>
        </w:tcBorders>
      </w:tcPr>
    </w:tblStylePr>
    <w:tblStylePr w:type="firstRow">
      <w:rPr>
        <w:b/>
        <w:color w:themeColor="light1"/>
        <w:sz w:val="22"/>
      </w:rPr>
      <w:tblPr/>
      <w:tcPr>
        <w:tcBorders>
          <w:top w:val="single" w:color="FAC090" w:themeColor="accent6" w:sz="32" w:space="0"/>
          <w:bottom w:val="single" w:color="FFFFFF" w:themeColor="light1" w:sz="12" w:space="0"/>
        </w:tcBorders>
        <w:shd w:val="clear" w:color="FAC090" w:fill="FAC090" w:themeFill="accent6" w:themeFillTint="98"/>
      </w:tcPr>
    </w:tblStylePr>
    <w:tblStylePr w:type="lastCol">
      <w:tblPr/>
      <w:tcPr>
        <w:tcBorders>
          <w:left w:val="single" w:color="FFFFFF" w:themeColor="light1" w:sz="4" w:space="0"/>
          <w:right w:val="single" w:color="FAC090" w:themeColor="accent6" w:sz="32" w:space="0"/>
        </w:tcBorders>
      </w:tcPr>
    </w:tblStylePr>
    <w:tblStylePr w:type="lastRow">
      <w:rPr>
        <w:b/>
        <w:color w:themeColor="light1"/>
        <w:sz w:val="22"/>
      </w:rPr>
      <w:tblPr/>
    </w:tblStylePr>
  </w:style>
  <w:style w:type="table" w:customStyle="1" w:styleId="1041">
    <w:name w:val="List Table 6 Colorful"/>
    <w:basedOn w:val="950"/>
    <w:uiPriority w:val="99"/>
    <w:tblPr>
      <w:tblStyleRowBandSize w:val="1"/>
      <w:tblStyleColBandSize w:val="1"/>
      <w:tblBorders>
        <w:top w:val="single" w:color="7F7F7F" w:themeColor="text1" w:themeTint="80" w:sz="4" w:space="0"/>
        <w:bottom w:val="single" w:color="7F7F7F" w:themeColor="text1" w:themeTint="80" w:sz="4" w:space="0"/>
      </w:tblBorders>
      <w:tblCellMar>
        <w:left w:w="108" w:type="dxa"/>
        <w:top w:w="0" w:type="dxa"/>
        <w:right w:w="108" w:type="dxa"/>
        <w:bottom w:w="0" w:type="dxa"/>
      </w:tblCellMar>
    </w:tblPr>
    <w:tblStylePr w:type="band1Horz">
      <w:rPr>
        <w:color w:themeColor="text1"/>
        <w:sz w:val="22"/>
      </w:rPr>
      <w:tblPr/>
      <w:tcPr>
        <w:shd w:val="clear" w:color="BFBFBF" w:fill="BFBFBF" w:themeFill="text1" w:themeFillTint="40"/>
      </w:tcPr>
    </w:tblStylePr>
    <w:tblStylePr w:type="band1Vert">
      <w:tblPr/>
      <w:tcPr>
        <w:shd w:val="clear" w:color="BFBFBF" w:fill="BFBFBF" w:themeFill="text1" w:themeFillTint="40"/>
      </w:tcPr>
    </w:tblStylePr>
    <w:tblStylePr w:type="band2Horz">
      <w:rPr>
        <w:color w:themeColor="text1"/>
        <w:sz w:val="22"/>
      </w:rPr>
      <w:tblPr/>
    </w:tblStylePr>
    <w:tblStylePr w:type="firstCol">
      <w:rPr>
        <w:b/>
        <w:color w:themeColor="text1"/>
      </w:rPr>
      <w:tblPr/>
    </w:tblStylePr>
    <w:tblStylePr w:type="firstRow">
      <w:rPr>
        <w:b/>
        <w:color w:themeColor="text1"/>
      </w:rPr>
      <w:tblPr/>
      <w:tcPr>
        <w:tcBorders>
          <w:bottom w:val="single" w:color="7F7F7F" w:themeColor="text1" w:sz="4" w:space="0"/>
        </w:tcBorders>
      </w:tcPr>
    </w:tblStylePr>
    <w:tblStylePr w:type="lastCol">
      <w:rPr>
        <w:b/>
        <w:color w:themeColor="text1"/>
      </w:rPr>
      <w:tblPr/>
    </w:tblStylePr>
    <w:tblStylePr w:type="lastRow">
      <w:rPr>
        <w:b/>
        <w:color w:themeColor="text1"/>
      </w:rPr>
      <w:tblPr/>
      <w:tcPr>
        <w:tcBorders>
          <w:top w:val="single" w:color="7F7F7F" w:themeColor="text1" w:sz="4" w:space="0"/>
        </w:tcBorders>
      </w:tcPr>
    </w:tblStylePr>
  </w:style>
  <w:style w:type="table" w:customStyle="1" w:styleId="1042">
    <w:name w:val="List Table 6 Colorful - Accent 1"/>
    <w:basedOn w:val="950"/>
    <w:uiPriority w:val="99"/>
    <w:tblPr>
      <w:tblStyleRowBandSize w:val="1"/>
      <w:tblStyleColBandSize w:val="1"/>
      <w:tblBorders>
        <w:top w:val="single" w:color="4F81BD" w:themeColor="accent1" w:sz="4" w:space="0"/>
        <w:bottom w:val="single" w:color="4F81BD" w:themeColor="accent1" w:sz="4" w:space="0"/>
      </w:tblBorders>
      <w:tblCellMar>
        <w:left w:w="108" w:type="dxa"/>
        <w:top w:w="0" w:type="dxa"/>
        <w:right w:w="108" w:type="dxa"/>
        <w:bottom w:w="0" w:type="dxa"/>
      </w:tblCellMar>
    </w:tblPr>
    <w:tblStylePr w:type="band1Horz">
      <w:rPr>
        <w:color w:themeColor="accent1" w:themeShade="95"/>
        <w:sz w:val="22"/>
      </w:rPr>
      <w:tblPr/>
      <w:tcPr>
        <w:shd w:val="clear" w:color="D2DFEE" w:fill="D2DFEE" w:themeFill="accent1" w:themeFillTint="40"/>
      </w:tcPr>
    </w:tblStylePr>
    <w:tblStylePr w:type="band1Vert">
      <w:tblPr/>
      <w:tcPr>
        <w:shd w:val="clear" w:color="D2DFEE" w:fill="D2DFEE" w:themeFill="accent1" w:themeFillTint="40"/>
      </w:tcPr>
    </w:tblStylePr>
    <w:tblStylePr w:type="band2Horz">
      <w:rPr>
        <w:color w:themeColor="accent1" w:themeShade="95"/>
        <w:sz w:val="22"/>
      </w:rPr>
      <w:tblPr/>
    </w:tblStylePr>
    <w:tblStylePr w:type="firstCol">
      <w:rPr>
        <w:b/>
        <w:color w:themeColor="accent1" w:themeShade="95"/>
      </w:rPr>
      <w:tblPr/>
    </w:tblStylePr>
    <w:tblStylePr w:type="firstRow">
      <w:rPr>
        <w:b/>
        <w:color w:themeColor="accent1" w:themeShade="95"/>
      </w:rPr>
      <w:tblPr/>
      <w:tcPr>
        <w:tcBorders>
          <w:bottom w:val="single" w:color="4F81BD" w:themeColor="accent1" w:sz="4" w:space="0"/>
        </w:tcBorders>
      </w:tcPr>
    </w:tblStylePr>
    <w:tblStylePr w:type="lastCol">
      <w:rPr>
        <w:b/>
        <w:color w:themeColor="accent1" w:themeShade="95"/>
      </w:rPr>
      <w:tblPr/>
    </w:tblStylePr>
    <w:tblStylePr w:type="lastRow">
      <w:rPr>
        <w:b/>
        <w:color w:themeColor="accent1" w:themeShade="95"/>
      </w:rPr>
      <w:tblPr/>
      <w:tcPr>
        <w:tcBorders>
          <w:top w:val="single" w:color="4F81BD" w:themeColor="accent1" w:sz="4" w:space="0"/>
        </w:tcBorders>
      </w:tcPr>
    </w:tblStylePr>
  </w:style>
  <w:style w:type="table" w:customStyle="1" w:styleId="1043">
    <w:name w:val="List Table 6 Colorful - Accent 2"/>
    <w:basedOn w:val="950"/>
    <w:uiPriority w:val="99"/>
    <w:tblPr>
      <w:tblStyleRowBandSize w:val="1"/>
      <w:tblStyleColBandSize w:val="1"/>
      <w:tblBorders>
        <w:top w:val="single" w:color="D99695" w:themeColor="accent2" w:themeTint="97" w:sz="4" w:space="0"/>
        <w:bottom w:val="single" w:color="D99695" w:themeColor="accent2" w:themeTint="97" w:sz="4" w:space="0"/>
      </w:tblBorders>
      <w:tblCellMar>
        <w:left w:w="108" w:type="dxa"/>
        <w:top w:w="0" w:type="dxa"/>
        <w:right w:w="108" w:type="dxa"/>
        <w:bottom w:w="0" w:type="dxa"/>
      </w:tblCellMar>
    </w:tblPr>
    <w:tblStylePr w:type="band1Horz">
      <w:rPr>
        <w:color w:themeColor="accent2" w:themeTint="97" w:themeShade="95"/>
        <w:sz w:val="22"/>
      </w:rPr>
      <w:tblPr/>
      <w:tcPr>
        <w:shd w:val="clear" w:color="EFD2D2" w:fill="EFD2D2" w:themeFill="accent2" w:themeFillTint="40"/>
      </w:tcPr>
    </w:tblStylePr>
    <w:tblStylePr w:type="band1Vert">
      <w:tblPr/>
      <w:tcPr>
        <w:shd w:val="clear" w:color="EFD2D2" w:fill="EFD2D2" w:themeFill="accent2" w:themeFillTint="40"/>
      </w:tcPr>
    </w:tblStylePr>
    <w:tblStylePr w:type="band2Horz">
      <w:rPr>
        <w:color w:themeColor="accent2" w:themeTint="97" w:themeShade="95"/>
        <w:sz w:val="22"/>
      </w:rPr>
      <w:tblPr/>
    </w:tblStylePr>
    <w:tblStylePr w:type="firstCol">
      <w:rPr>
        <w:b/>
        <w:color w:themeColor="accent2" w:themeTint="97" w:themeShade="95"/>
      </w:rPr>
      <w:tblPr/>
    </w:tblStylePr>
    <w:tblStylePr w:type="firstRow">
      <w:rPr>
        <w:b/>
        <w:color w:themeColor="accent2" w:themeTint="97" w:themeShade="95"/>
      </w:rPr>
      <w:tblPr/>
      <w:tcPr>
        <w:tcBorders>
          <w:bottom w:val="single" w:color="D99695" w:themeColor="accent2" w:sz="4" w:space="0"/>
        </w:tcBorders>
      </w:tcPr>
    </w:tblStylePr>
    <w:tblStylePr w:type="lastCol">
      <w:rPr>
        <w:b/>
        <w:color w:themeColor="accent2" w:themeTint="97" w:themeShade="95"/>
      </w:rPr>
      <w:tblPr/>
    </w:tblStylePr>
    <w:tblStylePr w:type="lastRow">
      <w:rPr>
        <w:b/>
        <w:color w:themeColor="accent2" w:themeTint="97" w:themeShade="95"/>
      </w:rPr>
      <w:tblPr/>
      <w:tcPr>
        <w:tcBorders>
          <w:top w:val="single" w:color="D99695" w:themeColor="accent2" w:sz="4" w:space="0"/>
        </w:tcBorders>
      </w:tcPr>
    </w:tblStylePr>
  </w:style>
  <w:style w:type="table" w:customStyle="1" w:styleId="1044">
    <w:name w:val="List Table 6 Colorful - Accent 3"/>
    <w:basedOn w:val="950"/>
    <w:uiPriority w:val="99"/>
    <w:tblPr>
      <w:tblStyleRowBandSize w:val="1"/>
      <w:tblStyleColBandSize w:val="1"/>
      <w:tblBorders>
        <w:top w:val="single" w:color="C3D69B" w:themeColor="accent3" w:themeTint="98" w:sz="4" w:space="0"/>
        <w:bottom w:val="single" w:color="C3D69B" w:themeColor="accent3" w:themeTint="98" w:sz="4" w:space="0"/>
      </w:tblBorders>
      <w:tblCellMar>
        <w:left w:w="108" w:type="dxa"/>
        <w:top w:w="0" w:type="dxa"/>
        <w:right w:w="108" w:type="dxa"/>
        <w:bottom w:w="0" w:type="dxa"/>
      </w:tblCellMar>
    </w:tblPr>
    <w:tblStylePr w:type="band1Horz">
      <w:rPr>
        <w:color w:themeColor="accent3" w:themeTint="98" w:themeShade="95"/>
        <w:sz w:val="22"/>
      </w:rPr>
      <w:tblPr/>
      <w:tcPr>
        <w:shd w:val="clear" w:color="E5EED5" w:fill="E5EED5" w:themeFill="accent3" w:themeFillTint="40"/>
      </w:tcPr>
    </w:tblStylePr>
    <w:tblStylePr w:type="band1Vert">
      <w:tblPr/>
      <w:tcPr>
        <w:shd w:val="clear" w:color="E5EED5" w:fill="E5EED5" w:themeFill="accent3" w:themeFillTint="40"/>
      </w:tcPr>
    </w:tblStylePr>
    <w:tblStylePr w:type="band2Horz">
      <w:rPr>
        <w:color w:themeColor="accent3" w:themeTint="98" w:themeShade="95"/>
        <w:sz w:val="22"/>
      </w:rPr>
      <w:tblPr/>
    </w:tblStylePr>
    <w:tblStylePr w:type="firstCol">
      <w:rPr>
        <w:b/>
        <w:color w:themeColor="accent3" w:themeTint="98" w:themeShade="95"/>
      </w:rPr>
      <w:tblPr/>
    </w:tblStylePr>
    <w:tblStylePr w:type="firstRow">
      <w:rPr>
        <w:b/>
        <w:color w:themeColor="accent3" w:themeTint="98" w:themeShade="95"/>
      </w:rPr>
      <w:tblPr/>
      <w:tcPr>
        <w:tcBorders>
          <w:bottom w:val="single" w:color="C3D69B" w:themeColor="accent3" w:sz="4" w:space="0"/>
        </w:tcBorders>
      </w:tcPr>
    </w:tblStylePr>
    <w:tblStylePr w:type="lastCol">
      <w:rPr>
        <w:b/>
        <w:color w:themeColor="accent3" w:themeTint="98" w:themeShade="95"/>
      </w:rPr>
      <w:tblPr/>
    </w:tblStylePr>
    <w:tblStylePr w:type="lastRow">
      <w:rPr>
        <w:b/>
        <w:color w:themeColor="accent3" w:themeTint="98" w:themeShade="95"/>
      </w:rPr>
      <w:tblPr/>
      <w:tcPr>
        <w:tcBorders>
          <w:top w:val="single" w:color="C3D69B" w:themeColor="accent3" w:sz="4" w:space="0"/>
        </w:tcBorders>
      </w:tcPr>
    </w:tblStylePr>
  </w:style>
  <w:style w:type="table" w:customStyle="1" w:styleId="1045">
    <w:name w:val="List Table 6 Colorful - Accent 4"/>
    <w:basedOn w:val="950"/>
    <w:uiPriority w:val="99"/>
    <w:tblPr>
      <w:tblStyleRowBandSize w:val="1"/>
      <w:tblStyleColBandSize w:val="1"/>
      <w:tblBorders>
        <w:top w:val="single" w:color="B2A1C6" w:themeColor="accent4" w:themeTint="9a" w:sz="4" w:space="0"/>
        <w:bottom w:val="single" w:color="B2A1C6" w:themeColor="accent4" w:themeTint="9a" w:sz="4" w:space="0"/>
      </w:tblBorders>
      <w:tblCellMar>
        <w:left w:w="108" w:type="dxa"/>
        <w:top w:w="0" w:type="dxa"/>
        <w:right w:w="108" w:type="dxa"/>
        <w:bottom w:w="0" w:type="dxa"/>
      </w:tblCellMar>
    </w:tblPr>
    <w:tblStylePr w:type="band1Horz">
      <w:rPr>
        <w:color w:themeColor="accent4" w:themeTint="9a" w:themeShade="95"/>
        <w:sz w:val="22"/>
      </w:rPr>
      <w:tblPr/>
      <w:tcPr>
        <w:shd w:val="clear" w:color="DFD8E7" w:fill="DFD8E7" w:themeFill="accent4" w:themeFillTint="40"/>
      </w:tcPr>
    </w:tblStylePr>
    <w:tblStylePr w:type="band1Vert">
      <w:tblPr/>
      <w:tcPr>
        <w:shd w:val="clear" w:color="DFD8E7" w:fill="DFD8E7" w:themeFill="accent4" w:themeFillTint="40"/>
      </w:tcPr>
    </w:tblStylePr>
    <w:tblStylePr w:type="band2Horz">
      <w:rPr>
        <w:color w:themeColor="accent4" w:themeTint="9a" w:themeShade="95"/>
        <w:sz w:val="22"/>
      </w:rPr>
      <w:tblPr/>
    </w:tblStylePr>
    <w:tblStylePr w:type="firstCol">
      <w:rPr>
        <w:b/>
        <w:color w:themeColor="accent4" w:themeTint="9a" w:themeShade="95"/>
      </w:rPr>
      <w:tblPr/>
    </w:tblStylePr>
    <w:tblStylePr w:type="firstRow">
      <w:rPr>
        <w:b/>
        <w:color w:themeColor="accent4" w:themeTint="9a" w:themeShade="95"/>
      </w:rPr>
      <w:tblPr/>
      <w:tcPr>
        <w:tcBorders>
          <w:bottom w:val="single" w:color="B2A1C6" w:themeColor="accent4" w:sz="4" w:space="0"/>
        </w:tcBorders>
      </w:tcPr>
    </w:tblStylePr>
    <w:tblStylePr w:type="lastCol">
      <w:rPr>
        <w:b/>
        <w:color w:themeColor="accent4" w:themeTint="9a" w:themeShade="95"/>
      </w:rPr>
      <w:tblPr/>
    </w:tblStylePr>
    <w:tblStylePr w:type="lastRow">
      <w:rPr>
        <w:b/>
        <w:color w:themeColor="accent4" w:themeTint="9a" w:themeShade="95"/>
      </w:rPr>
      <w:tblPr/>
      <w:tcPr>
        <w:tcBorders>
          <w:top w:val="single" w:color="B2A1C6" w:themeColor="accent4" w:sz="4" w:space="0"/>
        </w:tcBorders>
      </w:tcPr>
    </w:tblStylePr>
  </w:style>
  <w:style w:type="table" w:customStyle="1" w:styleId="1046">
    <w:name w:val="List Table 6 Colorful - Accent 5"/>
    <w:basedOn w:val="950"/>
    <w:uiPriority w:val="99"/>
    <w:tblPr>
      <w:tblStyleRowBandSize w:val="1"/>
      <w:tblStyleColBandSize w:val="1"/>
      <w:tblBorders>
        <w:top w:val="single" w:color="92CCDC" w:themeColor="accent5" w:themeTint="9a" w:sz="4" w:space="0"/>
        <w:bottom w:val="single" w:color="92CCDC" w:themeColor="accent5" w:themeTint="9a" w:sz="4" w:space="0"/>
      </w:tblBorders>
      <w:tblCellMar>
        <w:left w:w="108" w:type="dxa"/>
        <w:top w:w="0" w:type="dxa"/>
        <w:right w:w="108" w:type="dxa"/>
        <w:bottom w:w="0" w:type="dxa"/>
      </w:tblCellMar>
    </w:tblPr>
    <w:tblStylePr w:type="band1Horz">
      <w:rPr>
        <w:color w:themeColor="accent5" w:themeTint="9a" w:themeShade="95"/>
        <w:sz w:val="22"/>
      </w:rPr>
      <w:tblPr/>
      <w:tcPr>
        <w:shd w:val="clear" w:color="D1EAF0" w:fill="D1EAF0" w:themeFill="accent5" w:themeFillTint="40"/>
      </w:tcPr>
    </w:tblStylePr>
    <w:tblStylePr w:type="band1Vert">
      <w:tblPr/>
      <w:tcPr>
        <w:shd w:val="clear" w:color="D1EAF0" w:fill="D1EAF0" w:themeFill="accent5" w:themeFillTint="40"/>
      </w:tcPr>
    </w:tblStylePr>
    <w:tblStylePr w:type="band2Horz">
      <w:rPr>
        <w:color w:themeColor="accent5" w:themeTint="9a" w:themeShade="95"/>
        <w:sz w:val="22"/>
      </w:rPr>
      <w:tblPr/>
    </w:tblStylePr>
    <w:tblStylePr w:type="firstCol">
      <w:rPr>
        <w:b/>
        <w:color w:themeColor="accent5" w:themeTint="9a" w:themeShade="95"/>
      </w:rPr>
      <w:tblPr/>
    </w:tblStylePr>
    <w:tblStylePr w:type="firstRow">
      <w:rPr>
        <w:b/>
        <w:color w:themeColor="accent5" w:themeTint="9a" w:themeShade="95"/>
      </w:rPr>
      <w:tblPr/>
      <w:tcPr>
        <w:tcBorders>
          <w:bottom w:val="single" w:color="92CCDC" w:themeColor="accent5" w:sz="4" w:space="0"/>
        </w:tcBorders>
      </w:tcPr>
    </w:tblStylePr>
    <w:tblStylePr w:type="lastCol">
      <w:rPr>
        <w:b/>
        <w:color w:themeColor="accent5" w:themeTint="9a" w:themeShade="95"/>
      </w:rPr>
      <w:tblPr/>
    </w:tblStylePr>
    <w:tblStylePr w:type="lastRow">
      <w:rPr>
        <w:b/>
        <w:color w:themeColor="accent5" w:themeTint="9a" w:themeShade="95"/>
      </w:rPr>
      <w:tblPr/>
      <w:tcPr>
        <w:tcBorders>
          <w:top w:val="single" w:color="92CCDC" w:themeColor="accent5" w:sz="4" w:space="0"/>
        </w:tcBorders>
      </w:tcPr>
    </w:tblStylePr>
  </w:style>
  <w:style w:type="table" w:customStyle="1" w:styleId="1047">
    <w:name w:val="List Table 6 Colorful - Accent 6"/>
    <w:basedOn w:val="950"/>
    <w:uiPriority w:val="99"/>
    <w:tblPr>
      <w:tblStyleRowBandSize w:val="1"/>
      <w:tblStyleColBandSize w:val="1"/>
      <w:tblBorders>
        <w:top w:val="single" w:color="FAC090" w:themeColor="accent6" w:themeTint="98" w:sz="4" w:space="0"/>
        <w:bottom w:val="single" w:color="FAC090" w:themeColor="accent6" w:themeTint="98" w:sz="4" w:space="0"/>
      </w:tblBorders>
      <w:tblCellMar>
        <w:left w:w="108" w:type="dxa"/>
        <w:top w:w="0" w:type="dxa"/>
        <w:right w:w="108" w:type="dxa"/>
        <w:bottom w:w="0" w:type="dxa"/>
      </w:tblCellMar>
    </w:tblPr>
    <w:tblStylePr w:type="band1Horz">
      <w:rPr>
        <w:color w:themeColor="accent6" w:themeTint="98" w:themeShade="95"/>
        <w:sz w:val="22"/>
      </w:rPr>
      <w:tblPr/>
      <w:tcPr>
        <w:shd w:val="clear" w:color="FDE4D0" w:fill="FDE4D0" w:themeFill="accent6" w:themeFillTint="40"/>
      </w:tcPr>
    </w:tblStylePr>
    <w:tblStylePr w:type="band1Vert">
      <w:tblPr/>
      <w:tcPr>
        <w:shd w:val="clear" w:color="FDE4D0" w:fill="FDE4D0" w:themeFill="accent6" w:themeFillTint="40"/>
      </w:tcPr>
    </w:tblStylePr>
    <w:tblStylePr w:type="band2Horz">
      <w:rPr>
        <w:color w:themeColor="accent6" w:themeTint="98" w:themeShade="95"/>
        <w:sz w:val="22"/>
      </w:rPr>
      <w:tblPr/>
    </w:tblStylePr>
    <w:tblStylePr w:type="firstCol">
      <w:rPr>
        <w:b/>
        <w:color w:themeColor="accent6" w:themeTint="98" w:themeShade="95"/>
      </w:rPr>
      <w:tblPr/>
    </w:tblStylePr>
    <w:tblStylePr w:type="firstRow">
      <w:rPr>
        <w:b/>
        <w:color w:themeColor="accent6" w:themeTint="98" w:themeShade="95"/>
      </w:rPr>
      <w:tblPr/>
      <w:tcPr>
        <w:tcBorders>
          <w:bottom w:val="single" w:color="FAC090" w:themeColor="accent6" w:sz="4" w:space="0"/>
        </w:tcBorders>
      </w:tcPr>
    </w:tblStylePr>
    <w:tblStylePr w:type="lastCol">
      <w:rPr>
        <w:b/>
        <w:color w:themeColor="accent6" w:themeTint="98" w:themeShade="95"/>
      </w:rPr>
      <w:tblPr/>
    </w:tblStylePr>
    <w:tblStylePr w:type="lastRow">
      <w:rPr>
        <w:b/>
        <w:color w:themeColor="accent6" w:themeTint="98" w:themeShade="95"/>
      </w:rPr>
      <w:tblPr/>
      <w:tcPr>
        <w:tcBorders>
          <w:top w:val="single" w:color="FAC090" w:themeColor="accent6" w:sz="4" w:space="0"/>
        </w:tcBorders>
      </w:tcPr>
    </w:tblStylePr>
  </w:style>
  <w:style w:type="table" w:customStyle="1" w:styleId="1048">
    <w:name w:val="List Table 7 Colorful"/>
    <w:basedOn w:val="950"/>
    <w:uiPriority w:val="99"/>
    <w:tblPr>
      <w:tblStyleRowBandSize w:val="1"/>
      <w:tblStyleColBandSize w:val="1"/>
      <w:tblBorders>
        <w:right w:val="single" w:color="7F7F7F" w:themeColor="text1" w:themeTint="80" w:sz="4" w:space="0"/>
      </w:tblBorders>
      <w:tblCellMar>
        <w:left w:w="108" w:type="dxa"/>
        <w:top w:w="0" w:type="dxa"/>
        <w:right w:w="108" w:type="dxa"/>
        <w:bottom w:w="0" w:type="dxa"/>
      </w:tblCellMar>
    </w:tblPr>
    <w:tblStylePr w:type="band1Horz">
      <w:rPr>
        <w:color w:themeColor="text1" w:themeTint="80" w:themeShade="95"/>
        <w:sz w:val="22"/>
      </w:rPr>
      <w:tblPr/>
      <w:tcPr>
        <w:shd w:val="clear" w:color="BFBFBF" w:fill="BFBFBF" w:themeFill="text1" w:themeFillTint="40"/>
      </w:tcPr>
    </w:tblStylePr>
    <w:tblStylePr w:type="band1Vert">
      <w:tblPr/>
      <w:tcPr>
        <w:shd w:val="clear" w:color="BFBFBF" w:fill="BFBFBF" w:themeFill="text1" w:themeFillTint="40"/>
      </w:tcPr>
    </w:tblStylePr>
    <w:tblStylePr w:type="band2Horz">
      <w:rPr>
        <w:color w:themeColor="text1" w:themeTint="80" w:themeShade="95"/>
        <w:sz w:val="22"/>
      </w:rPr>
      <w:tblPr/>
    </w:tblStylePr>
    <w:tblStylePr w:type="firstCol">
      <w:pPr>
        <w:jc w:val="right"/>
      </w:pPr>
      <w:rPr>
        <w:i/>
        <w:color w:themeColor="text1" w:themeTint="80" w:themeShade="95"/>
        <w:sz w:val="22"/>
      </w:rPr>
      <w:tblPr/>
      <w:tcPr>
        <w:tcBorders>
          <w:top w:val="none" w:color="000000" w:sz="4" w:space="0"/>
          <w:left w:val="none" w:color="000000" w:sz="4" w:space="0"/>
          <w:bottom w:val="none" w:color="000000" w:sz="4" w:space="0"/>
          <w:right w:val="single" w:color="7F7F7F" w:themeColor="text1" w:sz="4" w:space="0"/>
        </w:tcBorders>
        <w:shd w:val="clear" w:color="FFFFFF" w:fill="auto"/>
      </w:tcPr>
    </w:tblStylePr>
    <w:tblStylePr w:type="firstRow">
      <w:rPr>
        <w:i/>
        <w:color w:themeColor="text1" w:themeTint="80" w:themeShade="95"/>
        <w:sz w:val="22"/>
      </w:rPr>
      <w:tblPr/>
      <w:tcPr>
        <w:tcBorders>
          <w:top w:val="none" w:color="000000" w:sz="4" w:space="0"/>
          <w:left w:val="none" w:color="000000" w:sz="4" w:space="0"/>
          <w:bottom w:val="single" w:color="7F7F7F" w:themeColor="text1" w:sz="4" w:space="0"/>
          <w:right w:val="none" w:color="000000" w:sz="4" w:space="0"/>
        </w:tcBorders>
        <w:shd w:val="clear" w:color="FFFFFF" w:fill="FFFFFF" w:themeFill="light1"/>
      </w:tcPr>
    </w:tblStylePr>
    <w:tblStylePr w:type="lastCol">
      <w:rPr>
        <w:i/>
        <w:color w:themeColor="text1" w:themeTint="80" w:themeShade="95"/>
        <w:sz w:val="22"/>
      </w:rPr>
      <w:tblPr/>
      <w:tcPr>
        <w:tcBorders>
          <w:top w:val="none" w:color="000000" w:sz="4" w:space="0"/>
          <w:left w:val="single" w:color="7F7F7F" w:themeColor="text1" w:sz="4" w:space="0"/>
          <w:bottom w:val="none" w:color="000000" w:sz="4" w:space="0"/>
          <w:right w:val="none" w:color="000000" w:sz="4" w:space="0"/>
        </w:tcBorders>
        <w:shd w:val="clear" w:color="FFFFFF" w:fill="auto"/>
      </w:tcPr>
    </w:tblStylePr>
    <w:tblStylePr w:type="lastRow">
      <w:rPr>
        <w:i/>
        <w:color w:themeColor="text1" w:themeTint="80" w:themeShade="95"/>
        <w:sz w:val="22"/>
      </w:rPr>
      <w:tblPr/>
      <w:tcPr>
        <w:tcBorders>
          <w:top w:val="single" w:color="7F7F7F" w:themeColor="text1" w:sz="4" w:space="0"/>
          <w:left w:val="none" w:color="000000" w:sz="4" w:space="0"/>
          <w:bottom w:val="none" w:color="000000" w:sz="4" w:space="0"/>
          <w:right w:val="none" w:color="000000" w:sz="4" w:space="0"/>
        </w:tcBorders>
        <w:shd w:val="clear" w:color="FFFFFF" w:fill="FFFFFF" w:themeFill="light1"/>
      </w:tcPr>
    </w:tblStylePr>
  </w:style>
  <w:style w:type="table" w:customStyle="1" w:styleId="1049">
    <w:name w:val="List Table 7 Colorful - Accent 1"/>
    <w:basedOn w:val="950"/>
    <w:uiPriority w:val="99"/>
    <w:tblPr>
      <w:tblStyleRowBandSize w:val="1"/>
      <w:tblStyleColBandSize w:val="1"/>
      <w:tblBorders>
        <w:right w:val="single" w:color="4F81BD" w:themeColor="accent1" w:sz="4" w:space="0"/>
      </w:tblBorders>
      <w:tblCellMar>
        <w:left w:w="108" w:type="dxa"/>
        <w:top w:w="0" w:type="dxa"/>
        <w:right w:w="108" w:type="dxa"/>
        <w:bottom w:w="0" w:type="dxa"/>
      </w:tblCellMar>
    </w:tblPr>
    <w:tblStylePr w:type="band1Horz">
      <w:rPr>
        <w:color w:themeColor="accent1" w:themeShade="95"/>
        <w:sz w:val="22"/>
      </w:rPr>
      <w:tblPr/>
      <w:tcPr>
        <w:shd w:val="clear" w:color="D2DFEE" w:fill="D2DFEE" w:themeFill="accent1" w:themeFillTint="40"/>
      </w:tcPr>
    </w:tblStylePr>
    <w:tblStylePr w:type="band1Vert">
      <w:tblPr/>
      <w:tcPr>
        <w:shd w:val="clear" w:color="D2DFEE" w:fill="D2DFEE" w:themeFill="accent1" w:themeFillTint="40"/>
      </w:tcPr>
    </w:tblStylePr>
    <w:tblStylePr w:type="band2Horz">
      <w:rPr>
        <w:color w:themeColor="accent1" w:themeShade="95"/>
        <w:sz w:val="22"/>
      </w:rPr>
      <w:tblPr/>
    </w:tblStylePr>
    <w:tblStylePr w:type="firstCol">
      <w:pPr>
        <w:jc w:val="right"/>
      </w:pPr>
      <w:rPr>
        <w:i/>
        <w:color w:themeColor="accent1" w:themeShade="95"/>
        <w:sz w:val="22"/>
      </w:rPr>
      <w:tblPr/>
      <w:tcPr>
        <w:tcBorders>
          <w:top w:val="none" w:color="000000" w:sz="4" w:space="0"/>
          <w:left w:val="none" w:color="000000" w:sz="4" w:space="0"/>
          <w:bottom w:val="none" w:color="000000" w:sz="4" w:space="0"/>
          <w:right w:val="single" w:color="4F81BD" w:themeColor="accent1" w:sz="4" w:space="0"/>
        </w:tcBorders>
        <w:shd w:val="clear" w:color="FFFFFF" w:fill="auto"/>
      </w:tcPr>
    </w:tblStylePr>
    <w:tblStylePr w:type="firstRow">
      <w:rPr>
        <w:i/>
        <w:color w:themeColor="accent1" w:themeShade="95"/>
        <w:sz w:val="22"/>
      </w:rPr>
      <w:tblPr/>
      <w:tcPr>
        <w:tcBorders>
          <w:top w:val="none" w:color="000000" w:sz="4" w:space="0"/>
          <w:left w:val="none" w:color="000000" w:sz="4" w:space="0"/>
          <w:bottom w:val="single" w:color="4F81BD" w:themeColor="accent1" w:sz="4" w:space="0"/>
          <w:right w:val="none" w:color="000000" w:sz="4" w:space="0"/>
        </w:tcBorders>
        <w:shd w:val="clear" w:color="FFFFFF" w:fill="FFFFFF" w:themeFill="light1"/>
      </w:tcPr>
    </w:tblStylePr>
    <w:tblStylePr w:type="lastCol">
      <w:rPr>
        <w:i/>
        <w:color w:themeColor="accent1" w:themeShade="95"/>
        <w:sz w:val="22"/>
      </w:rPr>
      <w:tblPr/>
      <w:tcPr>
        <w:tcBorders>
          <w:top w:val="none" w:color="000000" w:sz="4" w:space="0"/>
          <w:left w:val="single" w:color="4F81BD" w:themeColor="accent1" w:sz="4" w:space="0"/>
          <w:bottom w:val="none" w:color="000000" w:sz="4" w:space="0"/>
          <w:right w:val="none" w:color="000000" w:sz="4" w:space="0"/>
        </w:tcBorders>
        <w:shd w:val="clear" w:color="FFFFFF" w:fill="auto"/>
      </w:tcPr>
    </w:tblStylePr>
    <w:tblStylePr w:type="lastRow">
      <w:rPr>
        <w:i/>
        <w:color w:themeColor="accent1" w:themeShade="95"/>
        <w:sz w:val="22"/>
      </w:rPr>
      <w:tblPr/>
      <w:tcPr>
        <w:tcBorders>
          <w:top w:val="single" w:color="4F81BD" w:themeColor="accent1" w:sz="4" w:space="0"/>
          <w:left w:val="none" w:color="000000" w:sz="4" w:space="0"/>
          <w:bottom w:val="none" w:color="000000" w:sz="4" w:space="0"/>
          <w:right w:val="none" w:color="000000" w:sz="4" w:space="0"/>
        </w:tcBorders>
        <w:shd w:val="clear" w:color="FFFFFF" w:fill="FFFFFF" w:themeFill="light1"/>
      </w:tcPr>
    </w:tblStylePr>
  </w:style>
  <w:style w:type="table" w:customStyle="1" w:styleId="1050">
    <w:name w:val="List Table 7 Colorful - Accent 2"/>
    <w:basedOn w:val="950"/>
    <w:uiPriority w:val="99"/>
    <w:tblPr>
      <w:tblStyleRowBandSize w:val="1"/>
      <w:tblStyleColBandSize w:val="1"/>
      <w:tblBorders>
        <w:right w:val="single" w:color="D99695" w:themeColor="accent2" w:themeTint="97" w:sz="4" w:space="0"/>
      </w:tblBorders>
      <w:tblCellMar>
        <w:left w:w="108" w:type="dxa"/>
        <w:top w:w="0" w:type="dxa"/>
        <w:right w:w="108" w:type="dxa"/>
        <w:bottom w:w="0" w:type="dxa"/>
      </w:tblCellMar>
    </w:tblPr>
    <w:tblStylePr w:type="band1Horz">
      <w:rPr>
        <w:color w:themeColor="accent2" w:themeTint="97" w:themeShade="95"/>
        <w:sz w:val="22"/>
      </w:rPr>
      <w:tblPr/>
      <w:tcPr>
        <w:shd w:val="clear" w:color="EFD2D2" w:fill="EFD2D2" w:themeFill="accent2" w:themeFillTint="40"/>
      </w:tcPr>
    </w:tblStylePr>
    <w:tblStylePr w:type="band1Vert">
      <w:tblPr/>
      <w:tcPr>
        <w:shd w:val="clear" w:color="EFD2D2" w:fill="EFD2D2" w:themeFill="accent2" w:themeFillTint="40"/>
      </w:tcPr>
    </w:tblStylePr>
    <w:tblStylePr w:type="band2Horz">
      <w:rPr>
        <w:color w:themeColor="accent2" w:themeTint="97" w:themeShade="95"/>
        <w:sz w:val="22"/>
      </w:rPr>
      <w:tblPr/>
    </w:tblStylePr>
    <w:tblStylePr w:type="firstCol">
      <w:pPr>
        <w:jc w:val="right"/>
      </w:pPr>
      <w:rPr>
        <w:i/>
        <w:color w:themeColor="accent2" w:themeTint="97" w:themeShade="95"/>
        <w:sz w:val="22"/>
      </w:rPr>
      <w:tblPr/>
      <w:tcPr>
        <w:tcBorders>
          <w:top w:val="none" w:color="000000" w:sz="4" w:space="0"/>
          <w:left w:val="none" w:color="000000" w:sz="4" w:space="0"/>
          <w:bottom w:val="none" w:color="000000" w:sz="4" w:space="0"/>
          <w:right w:val="single" w:color="D99695" w:themeColor="accent2" w:sz="4" w:space="0"/>
        </w:tcBorders>
        <w:shd w:val="clear" w:color="FFFFFF" w:fill="auto"/>
      </w:tcPr>
    </w:tblStylePr>
    <w:tblStylePr w:type="firstRow">
      <w:rPr>
        <w:i/>
        <w:color w:themeColor="accent2" w:themeTint="97" w:themeShade="95"/>
        <w:sz w:val="22"/>
      </w:rPr>
      <w:tblPr/>
      <w:tcPr>
        <w:tcBorders>
          <w:top w:val="none" w:color="000000" w:sz="4" w:space="0"/>
          <w:left w:val="none" w:color="000000" w:sz="4" w:space="0"/>
          <w:bottom w:val="single" w:color="D99695" w:themeColor="accent2" w:sz="4" w:space="0"/>
          <w:right w:val="none" w:color="000000" w:sz="4" w:space="0"/>
        </w:tcBorders>
        <w:shd w:val="clear" w:color="FFFFFF" w:fill="FFFFFF" w:themeFill="light1"/>
      </w:tcPr>
    </w:tblStylePr>
    <w:tblStylePr w:type="lastCol">
      <w:rPr>
        <w:i/>
        <w:color w:themeColor="accent2" w:themeTint="97" w:themeShade="95"/>
        <w:sz w:val="22"/>
      </w:rPr>
      <w:tblPr/>
      <w:tcPr>
        <w:tcBorders>
          <w:top w:val="none" w:color="000000" w:sz="4" w:space="0"/>
          <w:left w:val="single" w:color="D99695" w:themeColor="accent2" w:sz="4" w:space="0"/>
          <w:bottom w:val="none" w:color="000000" w:sz="4" w:space="0"/>
          <w:right w:val="none" w:color="000000" w:sz="4" w:space="0"/>
        </w:tcBorders>
        <w:shd w:val="clear" w:color="FFFFFF" w:fill="auto"/>
      </w:tcPr>
    </w:tblStylePr>
    <w:tblStylePr w:type="lastRow">
      <w:rPr>
        <w:i/>
        <w:color w:themeColor="accent2" w:themeTint="97" w:themeShade="95"/>
        <w:sz w:val="22"/>
      </w:rPr>
      <w:tblPr/>
      <w:tcPr>
        <w:tcBorders>
          <w:top w:val="single" w:color="D99695" w:themeColor="accent2" w:sz="4" w:space="0"/>
          <w:left w:val="none" w:color="000000" w:sz="4" w:space="0"/>
          <w:bottom w:val="none" w:color="000000" w:sz="4" w:space="0"/>
          <w:right w:val="none" w:color="000000" w:sz="4" w:space="0"/>
        </w:tcBorders>
        <w:shd w:val="clear" w:color="FFFFFF" w:fill="FFFFFF" w:themeFill="light1"/>
      </w:tcPr>
    </w:tblStylePr>
  </w:style>
  <w:style w:type="table" w:customStyle="1" w:styleId="1051">
    <w:name w:val="List Table 7 Colorful - Accent 3"/>
    <w:basedOn w:val="950"/>
    <w:uiPriority w:val="99"/>
    <w:tblPr>
      <w:tblStyleRowBandSize w:val="1"/>
      <w:tblStyleColBandSize w:val="1"/>
      <w:tblBorders>
        <w:right w:val="single" w:color="C3D69B" w:themeColor="accent3" w:themeTint="98" w:sz="4" w:space="0"/>
      </w:tblBorders>
      <w:tblCellMar>
        <w:left w:w="108" w:type="dxa"/>
        <w:top w:w="0" w:type="dxa"/>
        <w:right w:w="108" w:type="dxa"/>
        <w:bottom w:w="0" w:type="dxa"/>
      </w:tblCellMar>
    </w:tblPr>
    <w:tblStylePr w:type="band1Horz">
      <w:rPr>
        <w:color w:themeColor="accent3" w:themeTint="98" w:themeShade="95"/>
        <w:sz w:val="22"/>
      </w:rPr>
      <w:tblPr/>
      <w:tcPr>
        <w:shd w:val="clear" w:color="E5EED5" w:fill="E5EED5" w:themeFill="accent3" w:themeFillTint="40"/>
      </w:tcPr>
    </w:tblStylePr>
    <w:tblStylePr w:type="band1Vert">
      <w:tblPr/>
      <w:tcPr>
        <w:shd w:val="clear" w:color="E5EED5" w:fill="E5EED5" w:themeFill="accent3" w:themeFillTint="40"/>
      </w:tcPr>
    </w:tblStylePr>
    <w:tblStylePr w:type="band2Horz">
      <w:rPr>
        <w:color w:themeColor="accent3" w:themeTint="98" w:themeShade="95"/>
        <w:sz w:val="22"/>
      </w:rPr>
      <w:tblPr/>
    </w:tblStylePr>
    <w:tblStylePr w:type="firstCol">
      <w:pPr>
        <w:jc w:val="right"/>
      </w:pPr>
      <w:rPr>
        <w:i/>
        <w:color w:themeColor="accent3" w:themeTint="98" w:themeShade="95"/>
        <w:sz w:val="22"/>
      </w:rPr>
      <w:tblPr/>
      <w:tcPr>
        <w:tcBorders>
          <w:top w:val="none" w:color="000000" w:sz="4" w:space="0"/>
          <w:left w:val="none" w:color="000000" w:sz="4" w:space="0"/>
          <w:bottom w:val="none" w:color="000000" w:sz="4" w:space="0"/>
          <w:right w:val="single" w:color="C3D69B" w:themeColor="accent3" w:sz="4" w:space="0"/>
        </w:tcBorders>
        <w:shd w:val="clear" w:color="FFFFFF" w:fill="auto"/>
      </w:tcPr>
    </w:tblStylePr>
    <w:tblStylePr w:type="firstRow">
      <w:rPr>
        <w:i/>
        <w:color w:themeColor="accent3" w:themeTint="98" w:themeShade="95"/>
        <w:sz w:val="22"/>
      </w:rPr>
      <w:tblPr/>
      <w:tcPr>
        <w:tcBorders>
          <w:top w:val="none" w:color="000000" w:sz="4" w:space="0"/>
          <w:left w:val="none" w:color="000000" w:sz="4" w:space="0"/>
          <w:bottom w:val="single" w:color="C3D69B" w:themeColor="accent3" w:sz="4" w:space="0"/>
          <w:right w:val="none" w:color="000000" w:sz="4" w:space="0"/>
        </w:tcBorders>
        <w:shd w:val="clear" w:color="FFFFFF" w:fill="FFFFFF" w:themeFill="light1"/>
      </w:tcPr>
    </w:tblStylePr>
    <w:tblStylePr w:type="lastCol">
      <w:rPr>
        <w:i/>
        <w:color w:themeColor="accent3" w:themeTint="98" w:themeShade="95"/>
        <w:sz w:val="22"/>
      </w:rPr>
      <w:tblPr/>
      <w:tcPr>
        <w:tcBorders>
          <w:top w:val="none" w:color="000000" w:sz="4" w:space="0"/>
          <w:left w:val="single" w:color="C3D69B" w:themeColor="accent3" w:sz="4" w:space="0"/>
          <w:bottom w:val="none" w:color="000000" w:sz="4" w:space="0"/>
          <w:right w:val="none" w:color="000000" w:sz="4" w:space="0"/>
        </w:tcBorders>
        <w:shd w:val="clear" w:color="FFFFFF" w:fill="auto"/>
      </w:tcPr>
    </w:tblStylePr>
    <w:tblStylePr w:type="lastRow">
      <w:rPr>
        <w:i/>
        <w:color w:themeColor="accent3" w:themeTint="98" w:themeShade="95"/>
        <w:sz w:val="22"/>
      </w:rPr>
      <w:tblPr/>
      <w:tcPr>
        <w:tcBorders>
          <w:top w:val="single" w:color="C3D69B" w:themeColor="accent3" w:sz="4" w:space="0"/>
          <w:left w:val="none" w:color="000000" w:sz="4" w:space="0"/>
          <w:bottom w:val="none" w:color="000000" w:sz="4" w:space="0"/>
          <w:right w:val="none" w:color="000000" w:sz="4" w:space="0"/>
        </w:tcBorders>
        <w:shd w:val="clear" w:color="FFFFFF" w:fill="FFFFFF" w:themeFill="light1"/>
      </w:tcPr>
    </w:tblStylePr>
  </w:style>
  <w:style w:type="table" w:customStyle="1" w:styleId="1052">
    <w:name w:val="List Table 7 Colorful - Accent 4"/>
    <w:basedOn w:val="950"/>
    <w:uiPriority w:val="99"/>
    <w:tblPr>
      <w:tblStyleRowBandSize w:val="1"/>
      <w:tblStyleColBandSize w:val="1"/>
      <w:tblBorders>
        <w:right w:val="single" w:color="B2A1C6" w:themeColor="accent4" w:themeTint="9a" w:sz="4" w:space="0"/>
      </w:tblBorders>
      <w:tblCellMar>
        <w:left w:w="108" w:type="dxa"/>
        <w:top w:w="0" w:type="dxa"/>
        <w:right w:w="108" w:type="dxa"/>
        <w:bottom w:w="0" w:type="dxa"/>
      </w:tblCellMar>
    </w:tblPr>
    <w:tblStylePr w:type="band1Horz">
      <w:rPr>
        <w:color w:themeColor="accent4" w:themeTint="9a" w:themeShade="95"/>
        <w:sz w:val="22"/>
      </w:rPr>
      <w:tblPr/>
      <w:tcPr>
        <w:shd w:val="clear" w:color="DFD8E7" w:fill="DFD8E7" w:themeFill="accent4" w:themeFillTint="40"/>
      </w:tcPr>
    </w:tblStylePr>
    <w:tblStylePr w:type="band1Vert">
      <w:tblPr/>
      <w:tcPr>
        <w:shd w:val="clear" w:color="DFD8E7" w:fill="DFD8E7" w:themeFill="accent4" w:themeFillTint="40"/>
      </w:tcPr>
    </w:tblStylePr>
    <w:tblStylePr w:type="band2Horz">
      <w:rPr>
        <w:color w:themeColor="accent4" w:themeTint="9a" w:themeShade="95"/>
        <w:sz w:val="22"/>
      </w:rPr>
      <w:tblPr/>
    </w:tblStylePr>
    <w:tblStylePr w:type="firstCol">
      <w:pPr>
        <w:jc w:val="right"/>
      </w:pPr>
      <w:rPr>
        <w:i/>
        <w:color w:themeColor="accent4" w:themeTint="9a" w:themeShade="95"/>
        <w:sz w:val="22"/>
      </w:rPr>
      <w:tblPr/>
      <w:tcPr>
        <w:tcBorders>
          <w:top w:val="none" w:color="000000" w:sz="4" w:space="0"/>
          <w:left w:val="none" w:color="000000" w:sz="4" w:space="0"/>
          <w:bottom w:val="none" w:color="000000" w:sz="4" w:space="0"/>
          <w:right w:val="single" w:color="B2A1C6" w:themeColor="accent4" w:sz="4" w:space="0"/>
        </w:tcBorders>
        <w:shd w:val="clear" w:color="FFFFFF" w:fill="auto"/>
      </w:tcPr>
    </w:tblStylePr>
    <w:tblStylePr w:type="firstRow">
      <w:rPr>
        <w:i/>
        <w:color w:themeColor="accent4" w:themeTint="9a" w:themeShade="95"/>
        <w:sz w:val="22"/>
      </w:rPr>
      <w:tblPr/>
      <w:tcPr>
        <w:tcBorders>
          <w:top w:val="none" w:color="000000" w:sz="4" w:space="0"/>
          <w:left w:val="none" w:color="000000" w:sz="4" w:space="0"/>
          <w:bottom w:val="single" w:color="B2A1C6" w:themeColor="accent4" w:sz="4" w:space="0"/>
          <w:right w:val="none" w:color="000000" w:sz="4" w:space="0"/>
        </w:tcBorders>
        <w:shd w:val="clear" w:color="FFFFFF" w:fill="FFFFFF" w:themeFill="light1"/>
      </w:tcPr>
    </w:tblStylePr>
    <w:tblStylePr w:type="lastCol">
      <w:rPr>
        <w:i/>
        <w:color w:themeColor="accent4" w:themeTint="9a" w:themeShade="95"/>
        <w:sz w:val="22"/>
      </w:rPr>
      <w:tblPr/>
      <w:tcPr>
        <w:tcBorders>
          <w:top w:val="none" w:color="000000" w:sz="4" w:space="0"/>
          <w:left w:val="single" w:color="B2A1C6" w:themeColor="accent4" w:sz="4" w:space="0"/>
          <w:bottom w:val="none" w:color="000000" w:sz="4" w:space="0"/>
          <w:right w:val="none" w:color="000000" w:sz="4" w:space="0"/>
        </w:tcBorders>
        <w:shd w:val="clear" w:color="FFFFFF" w:fill="auto"/>
      </w:tcPr>
    </w:tblStylePr>
    <w:tblStylePr w:type="lastRow">
      <w:rPr>
        <w:i/>
        <w:color w:themeColor="accent4" w:themeTint="9a" w:themeShade="95"/>
        <w:sz w:val="22"/>
      </w:rPr>
      <w:tblPr/>
      <w:tcPr>
        <w:tcBorders>
          <w:top w:val="single" w:color="B2A1C6" w:themeColor="accent4" w:sz="4" w:space="0"/>
          <w:left w:val="none" w:color="000000" w:sz="4" w:space="0"/>
          <w:bottom w:val="none" w:color="000000" w:sz="4" w:space="0"/>
          <w:right w:val="none" w:color="000000" w:sz="4" w:space="0"/>
        </w:tcBorders>
        <w:shd w:val="clear" w:color="FFFFFF" w:fill="FFFFFF" w:themeFill="light1"/>
      </w:tcPr>
    </w:tblStylePr>
  </w:style>
  <w:style w:type="table" w:customStyle="1" w:styleId="1053">
    <w:name w:val="List Table 7 Colorful - Accent 5"/>
    <w:basedOn w:val="950"/>
    <w:uiPriority w:val="99"/>
    <w:tblPr>
      <w:tblStyleRowBandSize w:val="1"/>
      <w:tblStyleColBandSize w:val="1"/>
      <w:tblBorders>
        <w:right w:val="single" w:color="92CCDC" w:themeColor="accent5" w:themeTint="9a" w:sz="4" w:space="0"/>
      </w:tblBorders>
      <w:tblCellMar>
        <w:left w:w="108" w:type="dxa"/>
        <w:top w:w="0" w:type="dxa"/>
        <w:right w:w="108" w:type="dxa"/>
        <w:bottom w:w="0" w:type="dxa"/>
      </w:tblCellMar>
    </w:tblPr>
    <w:tblStylePr w:type="band1Horz">
      <w:rPr>
        <w:color w:themeColor="accent5" w:themeTint="9a" w:themeShade="95"/>
        <w:sz w:val="22"/>
      </w:rPr>
      <w:tblPr/>
      <w:tcPr>
        <w:shd w:val="clear" w:color="D1EAF0" w:fill="D1EAF0" w:themeFill="accent5" w:themeFillTint="40"/>
      </w:tcPr>
    </w:tblStylePr>
    <w:tblStylePr w:type="band1Vert">
      <w:tblPr/>
      <w:tcPr>
        <w:shd w:val="clear" w:color="D1EAF0" w:fill="D1EAF0" w:themeFill="accent5" w:themeFillTint="40"/>
      </w:tcPr>
    </w:tblStylePr>
    <w:tblStylePr w:type="band2Horz">
      <w:rPr>
        <w:color w:themeColor="accent5" w:themeTint="9a" w:themeShade="95"/>
        <w:sz w:val="22"/>
      </w:rPr>
      <w:tblPr/>
    </w:tblStylePr>
    <w:tblStylePr w:type="firstCol">
      <w:pPr>
        <w:jc w:val="right"/>
      </w:pPr>
      <w:rPr>
        <w:i/>
        <w:color w:themeColor="accent5" w:themeTint="9a" w:themeShade="95"/>
        <w:sz w:val="22"/>
      </w:rPr>
      <w:tblPr/>
      <w:tcPr>
        <w:tcBorders>
          <w:top w:val="none" w:color="000000" w:sz="4" w:space="0"/>
          <w:left w:val="none" w:color="000000" w:sz="4" w:space="0"/>
          <w:bottom w:val="none" w:color="000000" w:sz="4" w:space="0"/>
          <w:right w:val="single" w:color="92CCDC" w:themeColor="accent5" w:sz="4" w:space="0"/>
        </w:tcBorders>
        <w:shd w:val="clear" w:color="FFFFFF" w:fill="auto"/>
      </w:tcPr>
    </w:tblStylePr>
    <w:tblStylePr w:type="firstRow">
      <w:rPr>
        <w:i/>
        <w:color w:themeColor="accent5" w:themeTint="9a" w:themeShade="95"/>
        <w:sz w:val="22"/>
      </w:rPr>
      <w:tblPr/>
      <w:tcPr>
        <w:tcBorders>
          <w:top w:val="none" w:color="000000" w:sz="4" w:space="0"/>
          <w:left w:val="none" w:color="000000" w:sz="4" w:space="0"/>
          <w:bottom w:val="single" w:color="92CCDC" w:themeColor="accent5" w:sz="4" w:space="0"/>
          <w:right w:val="none" w:color="000000" w:sz="4" w:space="0"/>
        </w:tcBorders>
        <w:shd w:val="clear" w:color="FFFFFF" w:fill="FFFFFF" w:themeFill="light1"/>
      </w:tcPr>
    </w:tblStylePr>
    <w:tblStylePr w:type="lastCol">
      <w:rPr>
        <w:i/>
        <w:color w:themeColor="accent5" w:themeTint="9a" w:themeShade="95"/>
        <w:sz w:val="22"/>
      </w:rPr>
      <w:tblPr/>
      <w:tcPr>
        <w:tcBorders>
          <w:top w:val="none" w:color="000000" w:sz="4" w:space="0"/>
          <w:left w:val="single" w:color="92CCDC" w:themeColor="accent5" w:sz="4" w:space="0"/>
          <w:bottom w:val="none" w:color="000000" w:sz="4" w:space="0"/>
          <w:right w:val="none" w:color="000000" w:sz="4" w:space="0"/>
        </w:tcBorders>
        <w:shd w:val="clear" w:color="FFFFFF" w:fill="auto"/>
      </w:tcPr>
    </w:tblStylePr>
    <w:tblStylePr w:type="lastRow">
      <w:rPr>
        <w:i/>
        <w:color w:themeColor="accent5" w:themeTint="9a" w:themeShade="95"/>
        <w:sz w:val="22"/>
      </w:rPr>
      <w:tblPr/>
      <w:tcPr>
        <w:tcBorders>
          <w:top w:val="single" w:color="92CCDC" w:themeColor="accent5" w:sz="4" w:space="0"/>
          <w:left w:val="none" w:color="000000" w:sz="4" w:space="0"/>
          <w:bottom w:val="none" w:color="000000" w:sz="4" w:space="0"/>
          <w:right w:val="none" w:color="000000" w:sz="4" w:space="0"/>
        </w:tcBorders>
        <w:shd w:val="clear" w:color="FFFFFF" w:fill="FFFFFF" w:themeFill="light1"/>
      </w:tcPr>
    </w:tblStylePr>
  </w:style>
  <w:style w:type="table" w:customStyle="1" w:styleId="1054">
    <w:name w:val="List Table 7 Colorful - Accent 6"/>
    <w:basedOn w:val="950"/>
    <w:uiPriority w:val="99"/>
    <w:tblPr>
      <w:tblStyleRowBandSize w:val="1"/>
      <w:tblStyleColBandSize w:val="1"/>
      <w:tblBorders>
        <w:right w:val="single" w:color="FAC090" w:themeColor="accent6" w:themeTint="98" w:sz="4" w:space="0"/>
      </w:tblBorders>
      <w:tblCellMar>
        <w:left w:w="108" w:type="dxa"/>
        <w:top w:w="0" w:type="dxa"/>
        <w:right w:w="108" w:type="dxa"/>
        <w:bottom w:w="0" w:type="dxa"/>
      </w:tblCellMar>
    </w:tblPr>
    <w:tblStylePr w:type="band1Horz">
      <w:rPr>
        <w:color w:themeColor="accent6" w:themeTint="98" w:themeShade="95"/>
        <w:sz w:val="22"/>
      </w:rPr>
      <w:tblPr/>
      <w:tcPr>
        <w:shd w:val="clear" w:color="FDE4D0" w:fill="FDE4D0" w:themeFill="accent6" w:themeFillTint="40"/>
      </w:tcPr>
    </w:tblStylePr>
    <w:tblStylePr w:type="band1Vert">
      <w:tblPr/>
      <w:tcPr>
        <w:shd w:val="clear" w:color="FDE4D0" w:fill="FDE4D0" w:themeFill="accent6" w:themeFillTint="40"/>
      </w:tcPr>
    </w:tblStylePr>
    <w:tblStylePr w:type="band2Horz">
      <w:rPr>
        <w:color w:themeColor="accent6" w:themeTint="98" w:themeShade="95"/>
        <w:sz w:val="22"/>
      </w:rPr>
      <w:tblPr/>
    </w:tblStylePr>
    <w:tblStylePr w:type="firstCol">
      <w:pPr>
        <w:jc w:val="right"/>
      </w:pPr>
      <w:rPr>
        <w:i/>
        <w:color w:themeColor="accent6" w:themeTint="98" w:themeShade="95"/>
        <w:sz w:val="22"/>
      </w:rPr>
      <w:tblPr/>
      <w:tcPr>
        <w:tcBorders>
          <w:top w:val="none" w:color="000000" w:sz="4" w:space="0"/>
          <w:left w:val="none" w:color="000000" w:sz="4" w:space="0"/>
          <w:bottom w:val="none" w:color="000000" w:sz="4" w:space="0"/>
          <w:right w:val="single" w:color="FAC090" w:themeColor="accent6" w:sz="4" w:space="0"/>
        </w:tcBorders>
        <w:shd w:val="clear" w:color="FFFFFF" w:fill="auto"/>
      </w:tcPr>
    </w:tblStylePr>
    <w:tblStylePr w:type="firstRow">
      <w:rPr>
        <w:i/>
        <w:color w:themeColor="accent6" w:themeTint="98" w:themeShade="95"/>
        <w:sz w:val="22"/>
      </w:rPr>
      <w:tblPr/>
      <w:tcPr>
        <w:tcBorders>
          <w:top w:val="none" w:color="000000" w:sz="4" w:space="0"/>
          <w:left w:val="none" w:color="000000" w:sz="4" w:space="0"/>
          <w:bottom w:val="single" w:color="FAC090" w:themeColor="accent6" w:sz="4" w:space="0"/>
          <w:right w:val="none" w:color="000000" w:sz="4" w:space="0"/>
        </w:tcBorders>
        <w:shd w:val="clear" w:color="FFFFFF" w:fill="FFFFFF" w:themeFill="light1"/>
      </w:tcPr>
    </w:tblStylePr>
    <w:tblStylePr w:type="lastCol">
      <w:rPr>
        <w:i/>
        <w:color w:themeColor="accent6" w:themeTint="98" w:themeShade="95"/>
        <w:sz w:val="22"/>
      </w:rPr>
      <w:tblPr/>
      <w:tcPr>
        <w:tcBorders>
          <w:top w:val="none" w:color="000000" w:sz="4" w:space="0"/>
          <w:left w:val="single" w:color="FAC090" w:themeColor="accent6" w:sz="4" w:space="0"/>
          <w:bottom w:val="none" w:color="000000" w:sz="4" w:space="0"/>
          <w:right w:val="none" w:color="000000" w:sz="4" w:space="0"/>
        </w:tcBorders>
        <w:shd w:val="clear" w:color="FFFFFF" w:fill="auto"/>
      </w:tcPr>
    </w:tblStylePr>
    <w:tblStylePr w:type="lastRow">
      <w:rPr>
        <w:i/>
        <w:color w:themeColor="accent6" w:themeTint="98" w:themeShade="95"/>
        <w:sz w:val="22"/>
      </w:rPr>
      <w:tblPr/>
      <w:tcPr>
        <w:tcBorders>
          <w:top w:val="single" w:color="FAC090" w:themeColor="accent6" w:sz="4" w:space="0"/>
          <w:left w:val="none" w:color="000000" w:sz="4" w:space="0"/>
          <w:bottom w:val="none" w:color="000000" w:sz="4" w:space="0"/>
          <w:right w:val="none" w:color="000000" w:sz="4" w:space="0"/>
        </w:tcBorders>
        <w:shd w:val="clear" w:color="FFFFFF" w:fill="FFFFFF" w:themeFill="light1"/>
      </w:tcPr>
    </w:tblStylePr>
  </w:style>
  <w:style w:type="table" w:customStyle="1" w:styleId="1055">
    <w:name w:val="Lined - Accent"/>
    <w:basedOn w:val="950"/>
    <w:uiPriority w:val="99"/>
    <w:tblPr>
      <w:tblStyleRowBandSize w:val="1"/>
      <w:tblStyleColBandSize w:val="1"/>
      <w:tblCellMar>
        <w:left w:w="108" w:type="dxa"/>
        <w:top w:w="0" w:type="dxa"/>
        <w:right w:w="108" w:type="dxa"/>
        <w:bottom w:w="0" w:type="dxa"/>
      </w:tblCellMar>
    </w:tblPr>
    <w:tblStylePr w:type="band1Horz">
      <w:rPr>
        <w:sz w:val="22"/>
      </w:rPr>
      <w:tblPr/>
    </w:tblStylePr>
    <w:tblStylePr w:type="band1Vert">
      <w:rPr>
        <w:sz w:val="22"/>
      </w:rPr>
      <w:tblPr/>
    </w:tblStylePr>
    <w:tblStylePr w:type="band2Horz">
      <w:rPr>
        <w:sz w:val="22"/>
      </w:rPr>
      <w:tblPr/>
      <w:tcPr>
        <w:shd w:val="clear" w:color="F2F2F2" w:fill="F2F2F2" w:themeFill="text1" w:themeFillTint="0"/>
      </w:tcPr>
    </w:tblStylePr>
    <w:tblStylePr w:type="band2Vert">
      <w:rPr>
        <w:sz w:val="22"/>
      </w:rPr>
      <w:tblPr/>
      <w:tcPr>
        <w:shd w:val="clear" w:color="F2F2F2" w:fill="F2F2F2" w:themeFill="text1" w:themeFillTint="0"/>
      </w:tcPr>
    </w:tblStylePr>
    <w:tblStylePr w:type="firstCol">
      <w:rPr>
        <w:sz w:val="22"/>
      </w:rPr>
      <w:tblPr/>
      <w:tcPr>
        <w:shd w:val="clear" w:color="7F7F7F" w:fill="7F7F7F" w:themeFill="text1" w:themeFillTint="80"/>
      </w:tcPr>
    </w:tblStylePr>
    <w:tblStylePr w:type="firstRow">
      <w:rPr>
        <w:sz w:val="22"/>
      </w:rPr>
      <w:tblPr/>
      <w:tcPr>
        <w:shd w:val="clear" w:color="7F7F7F" w:fill="7F7F7F" w:themeFill="text1" w:themeFillTint="80"/>
      </w:tcPr>
    </w:tblStylePr>
    <w:tblStylePr w:type="lastCol">
      <w:rPr>
        <w:sz w:val="22"/>
      </w:rPr>
      <w:tblPr/>
      <w:tcPr>
        <w:shd w:val="clear" w:color="7F7F7F" w:fill="7F7F7F" w:themeFill="text1" w:themeFillTint="80"/>
      </w:tcPr>
    </w:tblStylePr>
    <w:tblStylePr w:type="lastRow">
      <w:rPr>
        <w:sz w:val="22"/>
      </w:rPr>
      <w:tblPr/>
      <w:tcPr>
        <w:shd w:val="clear" w:color="7F7F7F" w:fill="7F7F7F" w:themeFill="text1" w:themeFillTint="80"/>
      </w:tcPr>
    </w:tblStylePr>
  </w:style>
  <w:style w:type="table" w:customStyle="1" w:styleId="1056">
    <w:name w:val="Lined - Accent 1"/>
    <w:basedOn w:val="950"/>
    <w:uiPriority w:val="99"/>
    <w:tblPr>
      <w:tblStyleRowBandSize w:val="1"/>
      <w:tblStyleColBandSize w:val="1"/>
      <w:tblCellMar>
        <w:left w:w="108" w:type="dxa"/>
        <w:top w:w="0" w:type="dxa"/>
        <w:right w:w="108" w:type="dxa"/>
        <w:bottom w:w="0" w:type="dxa"/>
      </w:tblCellMar>
    </w:tblPr>
    <w:tblStylePr w:type="band1Horz">
      <w:rPr>
        <w:sz w:val="22"/>
      </w:rPr>
      <w:tblPr/>
    </w:tblStylePr>
    <w:tblStylePr w:type="band1Vert">
      <w:rPr>
        <w:sz w:val="22"/>
      </w:rPr>
      <w:tblPr/>
    </w:tblStylePr>
    <w:tblStylePr w:type="band2Horz">
      <w:rPr>
        <w:sz w:val="22"/>
      </w:rPr>
      <w:tblPr/>
      <w:tcPr>
        <w:shd w:val="clear" w:color="C7D7EA" w:fill="C7D7EA" w:themeFill="accent1" w:themeFillTint="50"/>
      </w:tcPr>
    </w:tblStylePr>
    <w:tblStylePr w:type="band2Vert">
      <w:rPr>
        <w:sz w:val="22"/>
      </w:rPr>
      <w:tblPr/>
      <w:tcPr>
        <w:shd w:val="clear" w:color="C7D7EA" w:fill="C7D7EA" w:themeFill="accent1" w:themeFillTint="50"/>
      </w:tcPr>
    </w:tblStylePr>
    <w:tblStylePr w:type="firstCol">
      <w:rPr>
        <w:sz w:val="22"/>
      </w:rPr>
      <w:tblPr/>
      <w:tcPr>
        <w:shd w:val="clear" w:color="5D8AC2" w:fill="5D8AC2" w:themeFill="accent1" w:themeFillTint="ea"/>
      </w:tcPr>
    </w:tblStylePr>
    <w:tblStylePr w:type="firstRow">
      <w:rPr>
        <w:sz w:val="22"/>
      </w:rPr>
      <w:tblPr/>
      <w:tcPr>
        <w:shd w:val="clear" w:color="5D8AC2" w:fill="5D8AC2" w:themeFill="accent1" w:themeFillTint="ea"/>
      </w:tcPr>
    </w:tblStylePr>
    <w:tblStylePr w:type="lastCol">
      <w:rPr>
        <w:sz w:val="22"/>
      </w:rPr>
      <w:tblPr/>
      <w:tcPr>
        <w:shd w:val="clear" w:color="5D8AC2" w:fill="5D8AC2" w:themeFill="accent1" w:themeFillTint="ea"/>
      </w:tcPr>
    </w:tblStylePr>
    <w:tblStylePr w:type="lastRow">
      <w:rPr>
        <w:sz w:val="22"/>
      </w:rPr>
      <w:tblPr/>
      <w:tcPr>
        <w:shd w:val="clear" w:color="5D8AC2" w:fill="5D8AC2" w:themeFill="accent1" w:themeFillTint="ea"/>
      </w:tcPr>
    </w:tblStylePr>
  </w:style>
  <w:style w:type="table" w:customStyle="1" w:styleId="1057">
    <w:name w:val="Lined - Accent 2"/>
    <w:basedOn w:val="950"/>
    <w:uiPriority w:val="99"/>
    <w:tblPr>
      <w:tblStyleRowBandSize w:val="1"/>
      <w:tblStyleColBandSize w:val="1"/>
      <w:tblCellMar>
        <w:left w:w="108" w:type="dxa"/>
        <w:top w:w="0" w:type="dxa"/>
        <w:right w:w="108" w:type="dxa"/>
        <w:bottom w:w="0" w:type="dxa"/>
      </w:tblCellMar>
    </w:tblPr>
    <w:tblStylePr w:type="band1Horz">
      <w:rPr>
        <w:sz w:val="22"/>
      </w:rPr>
      <w:tblPr/>
    </w:tblStylePr>
    <w:tblStylePr w:type="band1Vert">
      <w:rPr>
        <w:sz w:val="22"/>
      </w:rPr>
      <w:tblPr/>
    </w:tblStylePr>
    <w:tblStylePr w:type="band2Horz">
      <w:rPr>
        <w:sz w:val="22"/>
      </w:rPr>
      <w:tblPr/>
      <w:tcPr>
        <w:shd w:val="clear" w:color="F2DCDC" w:fill="F2DCDC" w:themeFill="accent2" w:themeFillTint="32"/>
      </w:tcPr>
    </w:tblStylePr>
    <w:tblStylePr w:type="band2Vert">
      <w:rPr>
        <w:sz w:val="22"/>
      </w:rPr>
      <w:tblPr/>
      <w:tcPr>
        <w:shd w:val="clear" w:color="F2DCDC" w:fill="F2DCDC" w:themeFill="accent2" w:themeFillTint="32"/>
      </w:tcPr>
    </w:tblStylePr>
    <w:tblStylePr w:type="firstCol">
      <w:rPr>
        <w:sz w:val="22"/>
      </w:rPr>
      <w:tblPr/>
      <w:tcPr>
        <w:shd w:val="clear" w:color="D99695" w:fill="D99695" w:themeFill="accent2" w:themeFillTint="97"/>
      </w:tcPr>
    </w:tblStylePr>
    <w:tblStylePr w:type="firstRow">
      <w:rPr>
        <w:sz w:val="22"/>
      </w:rPr>
      <w:tblPr/>
      <w:tcPr>
        <w:shd w:val="clear" w:color="D99695" w:fill="D99695" w:themeFill="accent2" w:themeFillTint="97"/>
      </w:tcPr>
    </w:tblStylePr>
    <w:tblStylePr w:type="lastCol">
      <w:rPr>
        <w:sz w:val="22"/>
      </w:rPr>
      <w:tblPr/>
      <w:tcPr>
        <w:shd w:val="clear" w:color="D99695" w:fill="D99695" w:themeFill="accent2" w:themeFillTint="97"/>
      </w:tcPr>
    </w:tblStylePr>
    <w:tblStylePr w:type="lastRow">
      <w:rPr>
        <w:sz w:val="22"/>
      </w:rPr>
      <w:tblPr/>
      <w:tcPr>
        <w:shd w:val="clear" w:color="D99695" w:fill="D99695" w:themeFill="accent2" w:themeFillTint="97"/>
      </w:tcPr>
    </w:tblStylePr>
  </w:style>
  <w:style w:type="table" w:customStyle="1" w:styleId="1058">
    <w:name w:val="Lined - Accent 3"/>
    <w:basedOn w:val="950"/>
    <w:uiPriority w:val="99"/>
    <w:tblPr>
      <w:tblStyleRowBandSize w:val="1"/>
      <w:tblStyleColBandSize w:val="1"/>
      <w:tblCellMar>
        <w:left w:w="108" w:type="dxa"/>
        <w:top w:w="0" w:type="dxa"/>
        <w:right w:w="108" w:type="dxa"/>
        <w:bottom w:w="0" w:type="dxa"/>
      </w:tblCellMar>
    </w:tblPr>
    <w:tblStylePr w:type="band1Horz">
      <w:rPr>
        <w:sz w:val="22"/>
      </w:rPr>
      <w:tblPr/>
    </w:tblStylePr>
    <w:tblStylePr w:type="band1Vert">
      <w:rPr>
        <w:sz w:val="22"/>
      </w:rPr>
      <w:tblPr/>
    </w:tblStylePr>
    <w:tblStylePr w:type="band2Horz">
      <w:rPr>
        <w:sz w:val="22"/>
      </w:rPr>
      <w:tblPr/>
      <w:tcPr>
        <w:shd w:val="clear" w:color="EAF1DC" w:fill="EAF1DC" w:themeFill="accent3" w:themeFillTint="34"/>
      </w:tcPr>
    </w:tblStylePr>
    <w:tblStylePr w:type="band2Vert">
      <w:rPr>
        <w:sz w:val="22"/>
      </w:rPr>
      <w:tblPr/>
      <w:tcPr>
        <w:shd w:val="clear" w:color="EAF1DC" w:fill="EAF1DC" w:themeFill="accent3" w:themeFillTint="34"/>
      </w:tcPr>
    </w:tblStylePr>
    <w:tblStylePr w:type="firstCol">
      <w:rPr>
        <w:sz w:val="22"/>
      </w:rPr>
      <w:tblPr/>
      <w:tcPr>
        <w:shd w:val="clear" w:color="9ABB59" w:fill="9ABB59" w:themeFill="accent3" w:themeFillTint="fe"/>
      </w:tcPr>
    </w:tblStylePr>
    <w:tblStylePr w:type="firstRow">
      <w:rPr>
        <w:sz w:val="22"/>
      </w:rPr>
      <w:tblPr/>
      <w:tcPr>
        <w:shd w:val="clear" w:color="9ABB59" w:fill="9ABB59" w:themeFill="accent3" w:themeFillTint="fe"/>
      </w:tcPr>
    </w:tblStylePr>
    <w:tblStylePr w:type="lastCol">
      <w:rPr>
        <w:sz w:val="22"/>
      </w:rPr>
      <w:tblPr/>
      <w:tcPr>
        <w:shd w:val="clear" w:color="9ABB59" w:fill="9ABB59" w:themeFill="accent3" w:themeFillTint="fe"/>
      </w:tcPr>
    </w:tblStylePr>
    <w:tblStylePr w:type="lastRow">
      <w:rPr>
        <w:sz w:val="22"/>
      </w:rPr>
      <w:tblPr/>
      <w:tcPr>
        <w:shd w:val="clear" w:color="9ABB59" w:fill="9ABB59" w:themeFill="accent3" w:themeFillTint="fe"/>
      </w:tcPr>
    </w:tblStylePr>
  </w:style>
  <w:style w:type="table" w:customStyle="1" w:styleId="1059">
    <w:name w:val="Lined - Accent 4"/>
    <w:basedOn w:val="950"/>
    <w:uiPriority w:val="99"/>
    <w:tblPr>
      <w:tblStyleRowBandSize w:val="1"/>
      <w:tblStyleColBandSize w:val="1"/>
      <w:tblCellMar>
        <w:left w:w="108" w:type="dxa"/>
        <w:top w:w="0" w:type="dxa"/>
        <w:right w:w="108" w:type="dxa"/>
        <w:bottom w:w="0" w:type="dxa"/>
      </w:tblCellMar>
    </w:tblPr>
    <w:tblStylePr w:type="band1Horz">
      <w:rPr>
        <w:sz w:val="22"/>
      </w:rPr>
      <w:tblPr/>
    </w:tblStylePr>
    <w:tblStylePr w:type="band1Vert">
      <w:rPr>
        <w:sz w:val="22"/>
      </w:rPr>
      <w:tblPr/>
    </w:tblStylePr>
    <w:tblStylePr w:type="band2Horz">
      <w:rPr>
        <w:sz w:val="22"/>
      </w:rPr>
      <w:tblPr/>
      <w:tcPr>
        <w:shd w:val="clear" w:color="E5DFEC" w:fill="E5DFEC" w:themeFill="accent4" w:themeFillTint="34"/>
      </w:tcPr>
    </w:tblStylePr>
    <w:tblStylePr w:type="band2Vert">
      <w:rPr>
        <w:sz w:val="22"/>
      </w:rPr>
      <w:tblPr/>
      <w:tcPr>
        <w:shd w:val="clear" w:color="E5DFEC" w:fill="E5DFEC" w:themeFill="accent4" w:themeFillTint="34"/>
      </w:tcPr>
    </w:tblStylePr>
    <w:tblStylePr w:type="firstCol">
      <w:rPr>
        <w:sz w:val="22"/>
      </w:rPr>
      <w:tblPr/>
      <w:tcPr>
        <w:shd w:val="clear" w:color="B2A1C6" w:fill="B2A1C6" w:themeFill="accent4" w:themeFillTint="9a"/>
      </w:tcPr>
    </w:tblStylePr>
    <w:tblStylePr w:type="firstRow">
      <w:rPr>
        <w:sz w:val="22"/>
      </w:rPr>
      <w:tblPr/>
      <w:tcPr>
        <w:shd w:val="clear" w:color="B2A1C6" w:fill="B2A1C6" w:themeFill="accent4" w:themeFillTint="9a"/>
      </w:tcPr>
    </w:tblStylePr>
    <w:tblStylePr w:type="lastCol">
      <w:rPr>
        <w:sz w:val="22"/>
      </w:rPr>
      <w:tblPr/>
      <w:tcPr>
        <w:shd w:val="clear" w:color="B2A1C6" w:fill="B2A1C6" w:themeFill="accent4" w:themeFillTint="9a"/>
      </w:tcPr>
    </w:tblStylePr>
    <w:tblStylePr w:type="lastRow">
      <w:rPr>
        <w:sz w:val="22"/>
      </w:rPr>
      <w:tblPr/>
      <w:tcPr>
        <w:shd w:val="clear" w:color="B2A1C6" w:fill="B2A1C6" w:themeFill="accent4" w:themeFillTint="9a"/>
      </w:tcPr>
    </w:tblStylePr>
  </w:style>
  <w:style w:type="table" w:customStyle="1" w:styleId="1060">
    <w:name w:val="Lined - Accent 5"/>
    <w:basedOn w:val="950"/>
    <w:uiPriority w:val="99"/>
    <w:tblPr>
      <w:tblStyleRowBandSize w:val="1"/>
      <w:tblStyleColBandSize w:val="1"/>
      <w:tblCellMar>
        <w:left w:w="108" w:type="dxa"/>
        <w:top w:w="0" w:type="dxa"/>
        <w:right w:w="108" w:type="dxa"/>
        <w:bottom w:w="0" w:type="dxa"/>
      </w:tblCellMar>
    </w:tblPr>
    <w:tblStylePr w:type="band1Horz">
      <w:rPr>
        <w:sz w:val="22"/>
      </w:rPr>
      <w:tblPr/>
    </w:tblStylePr>
    <w:tblStylePr w:type="band1Vert">
      <w:rPr>
        <w:sz w:val="22"/>
      </w:rPr>
      <w:tblPr/>
    </w:tblStylePr>
    <w:tblStylePr w:type="band2Horz">
      <w:rPr>
        <w:sz w:val="22"/>
      </w:rPr>
      <w:tblPr/>
      <w:tcPr>
        <w:shd w:val="clear" w:color="DAEEF3" w:fill="DAEEF3" w:themeFill="accent5" w:themeFillTint="34"/>
      </w:tcPr>
    </w:tblStylePr>
    <w:tblStylePr w:type="band2Vert">
      <w:rPr>
        <w:sz w:val="22"/>
      </w:rPr>
      <w:tblPr/>
      <w:tcPr>
        <w:shd w:val="clear" w:color="DAEEF3" w:fill="DAEEF3" w:themeFill="accent5" w:themeFillTint="34"/>
      </w:tcPr>
    </w:tblStylePr>
    <w:tblStylePr w:type="firstCol">
      <w:rPr>
        <w:sz w:val="22"/>
      </w:rPr>
      <w:tblPr/>
      <w:tcPr>
        <w:shd w:val="clear" w:color="4BACC6" w:fill="4BACC6" w:themeFill="accent5"/>
      </w:tcPr>
    </w:tblStylePr>
    <w:tblStylePr w:type="firstRow">
      <w:rPr>
        <w:sz w:val="22"/>
      </w:rPr>
      <w:tblPr/>
      <w:tcPr>
        <w:shd w:val="clear" w:color="4BACC6" w:fill="4BACC6" w:themeFill="accent5"/>
      </w:tcPr>
    </w:tblStylePr>
    <w:tblStylePr w:type="lastCol">
      <w:rPr>
        <w:sz w:val="22"/>
      </w:rPr>
      <w:tblPr/>
      <w:tcPr>
        <w:shd w:val="clear" w:color="4BACC6" w:fill="4BACC6" w:themeFill="accent5"/>
      </w:tcPr>
    </w:tblStylePr>
    <w:tblStylePr w:type="lastRow">
      <w:rPr>
        <w:sz w:val="22"/>
      </w:rPr>
      <w:tblPr/>
      <w:tcPr>
        <w:shd w:val="clear" w:color="4BACC6" w:fill="4BACC6" w:themeFill="accent5"/>
      </w:tcPr>
    </w:tblStylePr>
  </w:style>
  <w:style w:type="table" w:customStyle="1" w:styleId="1061">
    <w:name w:val="Lined - Accent 6"/>
    <w:basedOn w:val="950"/>
    <w:uiPriority w:val="99"/>
    <w:tblPr>
      <w:tblStyleRowBandSize w:val="1"/>
      <w:tblStyleColBandSize w:val="1"/>
      <w:tblCellMar>
        <w:left w:w="108" w:type="dxa"/>
        <w:top w:w="0" w:type="dxa"/>
        <w:right w:w="108" w:type="dxa"/>
        <w:bottom w:w="0" w:type="dxa"/>
      </w:tblCellMar>
    </w:tblPr>
    <w:tblStylePr w:type="band1Horz">
      <w:rPr>
        <w:sz w:val="22"/>
      </w:rPr>
      <w:tblPr/>
    </w:tblStylePr>
    <w:tblStylePr w:type="band1Vert">
      <w:rPr>
        <w:sz w:val="22"/>
      </w:rPr>
      <w:tblPr/>
    </w:tblStylePr>
    <w:tblStylePr w:type="band2Horz">
      <w:rPr>
        <w:sz w:val="22"/>
      </w:rPr>
      <w:tblPr/>
      <w:tcPr>
        <w:shd w:val="clear" w:color="FDE9D8" w:fill="FDE9D8" w:themeFill="accent6" w:themeFillTint="34"/>
      </w:tcPr>
    </w:tblStylePr>
    <w:tblStylePr w:type="band2Vert">
      <w:rPr>
        <w:sz w:val="22"/>
      </w:rPr>
      <w:tblPr/>
      <w:tcPr>
        <w:shd w:val="clear" w:color="FDE9D8" w:fill="FDE9D8" w:themeFill="accent6" w:themeFillTint="34"/>
      </w:tcPr>
    </w:tblStylePr>
    <w:tblStylePr w:type="firstCol">
      <w:rPr>
        <w:sz w:val="22"/>
      </w:rPr>
      <w:tblPr/>
      <w:tcPr>
        <w:shd w:val="clear" w:color="F79646" w:fill="F79646" w:themeFill="accent6"/>
      </w:tcPr>
    </w:tblStylePr>
    <w:tblStylePr w:type="firstRow">
      <w:rPr>
        <w:sz w:val="22"/>
      </w:rPr>
      <w:tblPr/>
      <w:tcPr>
        <w:shd w:val="clear" w:color="F79646" w:fill="F79646" w:themeFill="accent6"/>
      </w:tcPr>
    </w:tblStylePr>
    <w:tblStylePr w:type="lastCol">
      <w:rPr>
        <w:sz w:val="22"/>
      </w:rPr>
      <w:tblPr/>
      <w:tcPr>
        <w:shd w:val="clear" w:color="F79646" w:fill="F79646" w:themeFill="accent6"/>
      </w:tcPr>
    </w:tblStylePr>
    <w:tblStylePr w:type="lastRow">
      <w:rPr>
        <w:sz w:val="22"/>
      </w:rPr>
      <w:tblPr/>
      <w:tcPr>
        <w:shd w:val="clear" w:color="F79646" w:fill="F79646" w:themeFill="accent6"/>
      </w:tcPr>
    </w:tblStylePr>
  </w:style>
  <w:style w:type="table" w:customStyle="1" w:styleId="1062">
    <w:name w:val="Bordered &amp; Lined - Accent"/>
    <w:basedOn w:val="950"/>
    <w:uiPriority w:val="99"/>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CellMar>
        <w:left w:w="108" w:type="dxa"/>
        <w:top w:w="0" w:type="dxa"/>
        <w:right w:w="108" w:type="dxa"/>
        <w:bottom w:w="0" w:type="dxa"/>
      </w:tblCellMar>
    </w:tblPr>
    <w:tblStylePr w:type="band1Horz">
      <w:rPr>
        <w:sz w:val="22"/>
      </w:rPr>
      <w:tblPr/>
    </w:tblStylePr>
    <w:tblStylePr w:type="band1Vert">
      <w:rPr>
        <w:sz w:val="22"/>
      </w:rPr>
      <w:tblPr/>
    </w:tblStylePr>
    <w:tblStylePr w:type="band2Horz">
      <w:rPr>
        <w:sz w:val="22"/>
      </w:rPr>
      <w:tblPr/>
      <w:tcPr>
        <w:shd w:val="clear" w:color="F2F2F2" w:fill="F2F2F2" w:themeFill="text1" w:themeFillTint="0"/>
      </w:tcPr>
    </w:tblStylePr>
    <w:tblStylePr w:type="band2Vert">
      <w:rPr>
        <w:sz w:val="22"/>
      </w:rPr>
      <w:tblPr/>
      <w:tcPr>
        <w:shd w:val="clear" w:color="F2F2F2" w:fill="F2F2F2" w:themeFill="text1" w:themeFillTint="0"/>
      </w:tcPr>
    </w:tblStylePr>
    <w:tblStylePr w:type="firstCol">
      <w:rPr>
        <w:sz w:val="22"/>
      </w:rPr>
      <w:tblPr/>
      <w:tcPr>
        <w:shd w:val="clear" w:color="7F7F7F" w:fill="7F7F7F" w:themeFill="text1" w:themeFillTint="80"/>
      </w:tcPr>
    </w:tblStylePr>
    <w:tblStylePr w:type="firstRow">
      <w:rPr>
        <w:sz w:val="22"/>
      </w:rPr>
      <w:tblPr/>
      <w:tcPr>
        <w:shd w:val="clear" w:color="7F7F7F" w:fill="7F7F7F" w:themeFill="text1" w:themeFillTint="80"/>
      </w:tcPr>
    </w:tblStylePr>
    <w:tblStylePr w:type="lastCol">
      <w:rPr>
        <w:sz w:val="22"/>
      </w:rPr>
      <w:tblPr/>
      <w:tcPr>
        <w:shd w:val="clear" w:color="7F7F7F" w:fill="7F7F7F" w:themeFill="text1" w:themeFillTint="80"/>
      </w:tcPr>
    </w:tblStylePr>
    <w:tblStylePr w:type="lastRow">
      <w:rPr>
        <w:sz w:val="22"/>
      </w:rPr>
      <w:tblPr/>
      <w:tcPr>
        <w:shd w:val="clear" w:color="7F7F7F" w:fill="7F7F7F" w:themeFill="text1" w:themeFillTint="80"/>
      </w:tcPr>
    </w:tblStylePr>
  </w:style>
  <w:style w:type="table" w:customStyle="1" w:styleId="1063">
    <w:name w:val="Bordered &amp; Lined - Accent 1"/>
    <w:basedOn w:val="950"/>
    <w:uiPriority w:val="99"/>
    <w:tblPr>
      <w:tblStyleRowBandSize w:val="1"/>
      <w:tblStyleColBandSize w:val="1"/>
      <w:tblBorders>
        <w:top w:val="single" w:color="2A4A71" w:themeColor="accent1" w:sz="4" w:space="0"/>
        <w:left w:val="single" w:color="2A4A71" w:themeColor="accent1" w:sz="4" w:space="0"/>
        <w:bottom w:val="single" w:color="2A4A71" w:themeColor="accent1" w:sz="4" w:space="0"/>
        <w:right w:val="single" w:color="2A4A71" w:themeColor="accent1" w:sz="4" w:space="0"/>
        <w:insideH w:val="single" w:color="2A4A71" w:themeColor="accent1" w:sz="4" w:space="0"/>
        <w:insideV w:val="single" w:color="2A4A71" w:themeColor="accent1" w:sz="4" w:space="0"/>
      </w:tblBorders>
      <w:tblCellMar>
        <w:left w:w="108" w:type="dxa"/>
        <w:top w:w="0" w:type="dxa"/>
        <w:right w:w="108" w:type="dxa"/>
        <w:bottom w:w="0" w:type="dxa"/>
      </w:tblCellMar>
    </w:tblPr>
    <w:tblStylePr w:type="band1Horz">
      <w:rPr>
        <w:sz w:val="22"/>
      </w:rPr>
      <w:tblPr/>
    </w:tblStylePr>
    <w:tblStylePr w:type="band1Vert">
      <w:rPr>
        <w:sz w:val="22"/>
      </w:rPr>
      <w:tblPr/>
    </w:tblStylePr>
    <w:tblStylePr w:type="band2Horz">
      <w:rPr>
        <w:sz w:val="22"/>
      </w:rPr>
      <w:tblPr/>
      <w:tcPr>
        <w:shd w:val="clear" w:color="C7D7EA" w:fill="C7D7EA" w:themeFill="accent1" w:themeFillTint="50"/>
      </w:tcPr>
    </w:tblStylePr>
    <w:tblStylePr w:type="band2Vert">
      <w:rPr>
        <w:sz w:val="22"/>
      </w:rPr>
      <w:tblPr/>
      <w:tcPr>
        <w:shd w:val="clear" w:color="C7D7EA" w:fill="C7D7EA" w:themeFill="accent1" w:themeFillTint="50"/>
      </w:tcPr>
    </w:tblStylePr>
    <w:tblStylePr w:type="firstCol">
      <w:rPr>
        <w:sz w:val="22"/>
      </w:rPr>
      <w:tblPr/>
      <w:tcPr>
        <w:shd w:val="clear" w:color="5D8AC2" w:fill="5D8AC2" w:themeFill="accent1" w:themeFillTint="ea"/>
      </w:tcPr>
    </w:tblStylePr>
    <w:tblStylePr w:type="firstRow">
      <w:rPr>
        <w:sz w:val="22"/>
      </w:rPr>
      <w:tblPr/>
      <w:tcPr>
        <w:shd w:val="clear" w:color="5D8AC2" w:fill="5D8AC2" w:themeFill="accent1" w:themeFillTint="ea"/>
      </w:tcPr>
    </w:tblStylePr>
    <w:tblStylePr w:type="lastCol">
      <w:rPr>
        <w:sz w:val="22"/>
      </w:rPr>
      <w:tblPr/>
      <w:tcPr>
        <w:shd w:val="clear" w:color="5D8AC2" w:fill="5D8AC2" w:themeFill="accent1" w:themeFillTint="ea"/>
      </w:tcPr>
    </w:tblStylePr>
    <w:tblStylePr w:type="lastRow">
      <w:rPr>
        <w:sz w:val="22"/>
      </w:rPr>
      <w:tblPr/>
      <w:tcPr>
        <w:shd w:val="clear" w:color="5D8AC2" w:fill="5D8AC2" w:themeFill="accent1" w:themeFillTint="ea"/>
      </w:tcPr>
    </w:tblStylePr>
  </w:style>
  <w:style w:type="table" w:customStyle="1" w:styleId="1064">
    <w:name w:val="Bordered &amp; Lined - Accent 2"/>
    <w:basedOn w:val="950"/>
    <w:uiPriority w:val="99"/>
    <w:tblPr>
      <w:tblStyleRowBandSize w:val="1"/>
      <w:tblStyleColBandSize w:val="1"/>
      <w:tblBorders>
        <w:top w:val="single" w:color="732A29" w:themeColor="accent2" w:sz="4" w:space="0"/>
        <w:left w:val="single" w:color="732A29" w:themeColor="accent2" w:sz="4" w:space="0"/>
        <w:bottom w:val="single" w:color="732A29" w:themeColor="accent2" w:sz="4" w:space="0"/>
        <w:right w:val="single" w:color="732A29" w:themeColor="accent2" w:sz="4" w:space="0"/>
        <w:insideH w:val="single" w:color="732A29" w:themeColor="accent2" w:sz="4" w:space="0"/>
        <w:insideV w:val="single" w:color="732A29" w:themeColor="accent2" w:sz="4" w:space="0"/>
      </w:tblBorders>
      <w:tblCellMar>
        <w:left w:w="108" w:type="dxa"/>
        <w:top w:w="0" w:type="dxa"/>
        <w:right w:w="108" w:type="dxa"/>
        <w:bottom w:w="0" w:type="dxa"/>
      </w:tblCellMar>
    </w:tblPr>
    <w:tblStylePr w:type="band1Horz">
      <w:rPr>
        <w:sz w:val="22"/>
      </w:rPr>
      <w:tblPr/>
    </w:tblStylePr>
    <w:tblStylePr w:type="band1Vert">
      <w:rPr>
        <w:sz w:val="22"/>
      </w:rPr>
      <w:tblPr/>
    </w:tblStylePr>
    <w:tblStylePr w:type="band2Horz">
      <w:rPr>
        <w:sz w:val="22"/>
      </w:rPr>
      <w:tblPr/>
      <w:tcPr>
        <w:shd w:val="clear" w:color="F2DCDC" w:fill="F2DCDC" w:themeFill="accent2" w:themeFillTint="32"/>
      </w:tcPr>
    </w:tblStylePr>
    <w:tblStylePr w:type="band2Vert">
      <w:rPr>
        <w:sz w:val="22"/>
      </w:rPr>
      <w:tblPr/>
      <w:tcPr>
        <w:shd w:val="clear" w:color="F2DCDC" w:fill="F2DCDC" w:themeFill="accent2" w:themeFillTint="32"/>
      </w:tcPr>
    </w:tblStylePr>
    <w:tblStylePr w:type="firstCol">
      <w:rPr>
        <w:sz w:val="22"/>
      </w:rPr>
      <w:tblPr/>
      <w:tcPr>
        <w:shd w:val="clear" w:color="D99695" w:fill="D99695" w:themeFill="accent2" w:themeFillTint="97"/>
      </w:tcPr>
    </w:tblStylePr>
    <w:tblStylePr w:type="firstRow">
      <w:rPr>
        <w:sz w:val="22"/>
      </w:rPr>
      <w:tblPr/>
      <w:tcPr>
        <w:shd w:val="clear" w:color="D99695" w:fill="D99695" w:themeFill="accent2" w:themeFillTint="97"/>
      </w:tcPr>
    </w:tblStylePr>
    <w:tblStylePr w:type="lastCol">
      <w:rPr>
        <w:sz w:val="22"/>
      </w:rPr>
      <w:tblPr/>
      <w:tcPr>
        <w:shd w:val="clear" w:color="D99695" w:fill="D99695" w:themeFill="accent2" w:themeFillTint="97"/>
      </w:tcPr>
    </w:tblStylePr>
    <w:tblStylePr w:type="lastRow">
      <w:rPr>
        <w:sz w:val="22"/>
      </w:rPr>
      <w:tblPr/>
      <w:tcPr>
        <w:shd w:val="clear" w:color="D99695" w:fill="D99695" w:themeFill="accent2" w:themeFillTint="97"/>
      </w:tcPr>
    </w:tblStylePr>
  </w:style>
  <w:style w:type="table" w:customStyle="1" w:styleId="1065">
    <w:name w:val="Bordered &amp; Lined - Accent 3"/>
    <w:basedOn w:val="950"/>
    <w:uiPriority w:val="99"/>
    <w:tblPr>
      <w:tblStyleRowBandSize w:val="1"/>
      <w:tblStyleColBandSize w:val="1"/>
      <w:tblBorders>
        <w:top w:val="single" w:color="5B722E" w:themeColor="accent3" w:sz="4" w:space="0"/>
        <w:left w:val="single" w:color="5B722E" w:themeColor="accent3" w:sz="4" w:space="0"/>
        <w:bottom w:val="single" w:color="5B722E" w:themeColor="accent3" w:sz="4" w:space="0"/>
        <w:right w:val="single" w:color="5B722E" w:themeColor="accent3" w:sz="4" w:space="0"/>
        <w:insideH w:val="single" w:color="5B722E" w:themeColor="accent3" w:sz="4" w:space="0"/>
        <w:insideV w:val="single" w:color="5B722E" w:themeColor="accent3" w:sz="4" w:space="0"/>
      </w:tblBorders>
      <w:tblCellMar>
        <w:left w:w="108" w:type="dxa"/>
        <w:top w:w="0" w:type="dxa"/>
        <w:right w:w="108" w:type="dxa"/>
        <w:bottom w:w="0" w:type="dxa"/>
      </w:tblCellMar>
    </w:tblPr>
    <w:tblStylePr w:type="band1Horz">
      <w:rPr>
        <w:sz w:val="22"/>
      </w:rPr>
      <w:tblPr/>
    </w:tblStylePr>
    <w:tblStylePr w:type="band1Vert">
      <w:rPr>
        <w:sz w:val="22"/>
      </w:rPr>
      <w:tblPr/>
    </w:tblStylePr>
    <w:tblStylePr w:type="band2Horz">
      <w:rPr>
        <w:sz w:val="22"/>
      </w:rPr>
      <w:tblPr/>
      <w:tcPr>
        <w:shd w:val="clear" w:color="EAF1DC" w:fill="EAF1DC" w:themeFill="accent3" w:themeFillTint="34"/>
      </w:tcPr>
    </w:tblStylePr>
    <w:tblStylePr w:type="band2Vert">
      <w:rPr>
        <w:sz w:val="22"/>
      </w:rPr>
      <w:tblPr/>
      <w:tcPr>
        <w:shd w:val="clear" w:color="EAF1DC" w:fill="EAF1DC" w:themeFill="accent3" w:themeFillTint="34"/>
      </w:tcPr>
    </w:tblStylePr>
    <w:tblStylePr w:type="firstCol">
      <w:rPr>
        <w:sz w:val="22"/>
      </w:rPr>
      <w:tblPr/>
      <w:tcPr>
        <w:shd w:val="clear" w:color="9ABB59" w:fill="9ABB59" w:themeFill="accent3" w:themeFillTint="fe"/>
      </w:tcPr>
    </w:tblStylePr>
    <w:tblStylePr w:type="firstRow">
      <w:rPr>
        <w:sz w:val="22"/>
      </w:rPr>
      <w:tblPr/>
      <w:tcPr>
        <w:shd w:val="clear" w:color="9ABB59" w:fill="9ABB59" w:themeFill="accent3" w:themeFillTint="fe"/>
      </w:tcPr>
    </w:tblStylePr>
    <w:tblStylePr w:type="lastCol">
      <w:rPr>
        <w:sz w:val="22"/>
      </w:rPr>
      <w:tblPr/>
      <w:tcPr>
        <w:shd w:val="clear" w:color="9ABB59" w:fill="9ABB59" w:themeFill="accent3" w:themeFillTint="fe"/>
      </w:tcPr>
    </w:tblStylePr>
    <w:tblStylePr w:type="lastRow">
      <w:rPr>
        <w:sz w:val="22"/>
      </w:rPr>
      <w:tblPr/>
      <w:tcPr>
        <w:shd w:val="clear" w:color="9ABB59" w:fill="9ABB59" w:themeFill="accent3" w:themeFillTint="fe"/>
      </w:tcPr>
    </w:tblStylePr>
  </w:style>
  <w:style w:type="table" w:customStyle="1" w:styleId="1066">
    <w:name w:val="Bordered &amp; Lined - Accent 4"/>
    <w:basedOn w:val="950"/>
    <w:uiPriority w:val="99"/>
    <w:tblPr>
      <w:tblStyleRowBandSize w:val="1"/>
      <w:tblStyleColBandSize w:val="1"/>
      <w:tblBorders>
        <w:top w:val="single" w:color="4A395F" w:themeColor="accent4" w:sz="4" w:space="0"/>
        <w:left w:val="single" w:color="4A395F" w:themeColor="accent4" w:sz="4" w:space="0"/>
        <w:bottom w:val="single" w:color="4A395F" w:themeColor="accent4" w:sz="4" w:space="0"/>
        <w:right w:val="single" w:color="4A395F" w:themeColor="accent4" w:sz="4" w:space="0"/>
        <w:insideH w:val="single" w:color="4A395F" w:themeColor="accent4" w:sz="4" w:space="0"/>
        <w:insideV w:val="single" w:color="4A395F" w:themeColor="accent4" w:sz="4" w:space="0"/>
      </w:tblBorders>
      <w:tblCellMar>
        <w:left w:w="108" w:type="dxa"/>
        <w:top w:w="0" w:type="dxa"/>
        <w:right w:w="108" w:type="dxa"/>
        <w:bottom w:w="0" w:type="dxa"/>
      </w:tblCellMar>
    </w:tblPr>
    <w:tblStylePr w:type="band1Horz">
      <w:rPr>
        <w:sz w:val="22"/>
      </w:rPr>
      <w:tblPr/>
    </w:tblStylePr>
    <w:tblStylePr w:type="band1Vert">
      <w:rPr>
        <w:sz w:val="22"/>
      </w:rPr>
      <w:tblPr/>
    </w:tblStylePr>
    <w:tblStylePr w:type="band2Horz">
      <w:rPr>
        <w:sz w:val="22"/>
      </w:rPr>
      <w:tblPr/>
      <w:tcPr>
        <w:shd w:val="clear" w:color="E5DFEC" w:fill="E5DFEC" w:themeFill="accent4" w:themeFillTint="34"/>
      </w:tcPr>
    </w:tblStylePr>
    <w:tblStylePr w:type="band2Vert">
      <w:rPr>
        <w:sz w:val="22"/>
      </w:rPr>
      <w:tblPr/>
      <w:tcPr>
        <w:shd w:val="clear" w:color="E5DFEC" w:fill="E5DFEC" w:themeFill="accent4" w:themeFillTint="34"/>
      </w:tcPr>
    </w:tblStylePr>
    <w:tblStylePr w:type="firstCol">
      <w:rPr>
        <w:sz w:val="22"/>
      </w:rPr>
      <w:tblPr/>
      <w:tcPr>
        <w:shd w:val="clear" w:color="B2A1C6" w:fill="B2A1C6" w:themeFill="accent4" w:themeFillTint="9a"/>
      </w:tcPr>
    </w:tblStylePr>
    <w:tblStylePr w:type="firstRow">
      <w:rPr>
        <w:sz w:val="22"/>
      </w:rPr>
      <w:tblPr/>
      <w:tcPr>
        <w:shd w:val="clear" w:color="B2A1C6" w:fill="B2A1C6" w:themeFill="accent4" w:themeFillTint="9a"/>
      </w:tcPr>
    </w:tblStylePr>
    <w:tblStylePr w:type="lastCol">
      <w:rPr>
        <w:sz w:val="22"/>
      </w:rPr>
      <w:tblPr/>
      <w:tcPr>
        <w:shd w:val="clear" w:color="B2A1C6" w:fill="B2A1C6" w:themeFill="accent4" w:themeFillTint="9a"/>
      </w:tcPr>
    </w:tblStylePr>
    <w:tblStylePr w:type="lastRow">
      <w:rPr>
        <w:sz w:val="22"/>
      </w:rPr>
      <w:tblPr/>
      <w:tcPr>
        <w:shd w:val="clear" w:color="B2A1C6" w:fill="B2A1C6" w:themeFill="accent4" w:themeFillTint="9a"/>
      </w:tcPr>
    </w:tblStylePr>
  </w:style>
  <w:style w:type="table" w:customStyle="1" w:styleId="1067">
    <w:name w:val="Bordered &amp; Lined - Accent 5"/>
    <w:basedOn w:val="950"/>
    <w:uiPriority w:val="99"/>
    <w:tblPr>
      <w:tblStyleRowBandSize w:val="1"/>
      <w:tblStyleColBandSize w:val="1"/>
      <w:tblBorders>
        <w:top w:val="single" w:color="266779" w:themeColor="accent5" w:sz="4" w:space="0"/>
        <w:left w:val="single" w:color="266779" w:themeColor="accent5" w:sz="4" w:space="0"/>
        <w:bottom w:val="single" w:color="266779" w:themeColor="accent5" w:sz="4" w:space="0"/>
        <w:right w:val="single" w:color="266779" w:themeColor="accent5" w:sz="4" w:space="0"/>
        <w:insideH w:val="single" w:color="266779" w:themeColor="accent5" w:sz="4" w:space="0"/>
        <w:insideV w:val="single" w:color="266779" w:themeColor="accent5" w:sz="4" w:space="0"/>
      </w:tblBorders>
      <w:tblCellMar>
        <w:left w:w="108" w:type="dxa"/>
        <w:top w:w="0" w:type="dxa"/>
        <w:right w:w="108" w:type="dxa"/>
        <w:bottom w:w="0" w:type="dxa"/>
      </w:tblCellMar>
    </w:tblPr>
    <w:tblStylePr w:type="band1Horz">
      <w:rPr>
        <w:sz w:val="22"/>
      </w:rPr>
      <w:tblPr/>
    </w:tblStylePr>
    <w:tblStylePr w:type="band1Vert">
      <w:rPr>
        <w:sz w:val="22"/>
      </w:rPr>
      <w:tblPr/>
    </w:tblStylePr>
    <w:tblStylePr w:type="band2Horz">
      <w:rPr>
        <w:sz w:val="22"/>
      </w:rPr>
      <w:tblPr/>
      <w:tcPr>
        <w:shd w:val="clear" w:color="DAEEF3" w:fill="DAEEF3" w:themeFill="accent5" w:themeFillTint="34"/>
      </w:tcPr>
    </w:tblStylePr>
    <w:tblStylePr w:type="band2Vert">
      <w:rPr>
        <w:sz w:val="22"/>
      </w:rPr>
      <w:tblPr/>
      <w:tcPr>
        <w:shd w:val="clear" w:color="DAEEF3" w:fill="DAEEF3" w:themeFill="accent5" w:themeFillTint="34"/>
      </w:tcPr>
    </w:tblStylePr>
    <w:tblStylePr w:type="firstCol">
      <w:rPr>
        <w:sz w:val="22"/>
      </w:rPr>
      <w:tblPr/>
      <w:tcPr>
        <w:shd w:val="clear" w:color="4BACC6" w:fill="4BACC6" w:themeFill="accent5"/>
      </w:tcPr>
    </w:tblStylePr>
    <w:tblStylePr w:type="firstRow">
      <w:rPr>
        <w:sz w:val="22"/>
      </w:rPr>
      <w:tblPr/>
      <w:tcPr>
        <w:shd w:val="clear" w:color="4BACC6" w:fill="4BACC6" w:themeFill="accent5"/>
      </w:tcPr>
    </w:tblStylePr>
    <w:tblStylePr w:type="lastCol">
      <w:rPr>
        <w:sz w:val="22"/>
      </w:rPr>
      <w:tblPr/>
      <w:tcPr>
        <w:shd w:val="clear" w:color="4BACC6" w:fill="4BACC6" w:themeFill="accent5"/>
      </w:tcPr>
    </w:tblStylePr>
    <w:tblStylePr w:type="lastRow">
      <w:rPr>
        <w:sz w:val="22"/>
      </w:rPr>
      <w:tblPr/>
      <w:tcPr>
        <w:shd w:val="clear" w:color="4BACC6" w:fill="4BACC6" w:themeFill="accent5"/>
      </w:tcPr>
    </w:tblStylePr>
  </w:style>
  <w:style w:type="table" w:customStyle="1" w:styleId="1068">
    <w:name w:val="Bordered &amp; Lined - Accent 6"/>
    <w:basedOn w:val="950"/>
    <w:uiPriority w:val="99"/>
    <w:tblPr>
      <w:tblStyleRowBandSize w:val="1"/>
      <w:tblStyleColBandSize w:val="1"/>
      <w:tblBorders>
        <w:top w:val="single" w:color="B15407" w:themeColor="accent6" w:sz="4" w:space="0"/>
        <w:left w:val="single" w:color="B15407" w:themeColor="accent6" w:sz="4" w:space="0"/>
        <w:bottom w:val="single" w:color="B15407" w:themeColor="accent6" w:sz="4" w:space="0"/>
        <w:right w:val="single" w:color="B15407" w:themeColor="accent6" w:sz="4" w:space="0"/>
        <w:insideH w:val="single" w:color="B15407" w:themeColor="accent6" w:sz="4" w:space="0"/>
        <w:insideV w:val="single" w:color="B15407" w:themeColor="accent6" w:sz="4" w:space="0"/>
      </w:tblBorders>
      <w:tblCellMar>
        <w:left w:w="108" w:type="dxa"/>
        <w:top w:w="0" w:type="dxa"/>
        <w:right w:w="108" w:type="dxa"/>
        <w:bottom w:w="0" w:type="dxa"/>
      </w:tblCellMar>
    </w:tblPr>
    <w:tblStylePr w:type="band1Horz">
      <w:rPr>
        <w:sz w:val="22"/>
      </w:rPr>
      <w:tblPr/>
    </w:tblStylePr>
    <w:tblStylePr w:type="band1Vert">
      <w:rPr>
        <w:sz w:val="22"/>
      </w:rPr>
      <w:tblPr/>
    </w:tblStylePr>
    <w:tblStylePr w:type="band2Horz">
      <w:rPr>
        <w:sz w:val="22"/>
      </w:rPr>
      <w:tblPr/>
      <w:tcPr>
        <w:shd w:val="clear" w:color="FDE9D8" w:fill="FDE9D8" w:themeFill="accent6" w:themeFillTint="34"/>
      </w:tcPr>
    </w:tblStylePr>
    <w:tblStylePr w:type="band2Vert">
      <w:rPr>
        <w:sz w:val="22"/>
      </w:rPr>
      <w:tblPr/>
      <w:tcPr>
        <w:shd w:val="clear" w:color="FDE9D8" w:fill="FDE9D8" w:themeFill="accent6" w:themeFillTint="34"/>
      </w:tcPr>
    </w:tblStylePr>
    <w:tblStylePr w:type="firstCol">
      <w:rPr>
        <w:sz w:val="22"/>
      </w:rPr>
      <w:tblPr/>
      <w:tcPr>
        <w:shd w:val="clear" w:color="F79646" w:fill="F79646" w:themeFill="accent6"/>
      </w:tcPr>
    </w:tblStylePr>
    <w:tblStylePr w:type="firstRow">
      <w:rPr>
        <w:sz w:val="22"/>
      </w:rPr>
      <w:tblPr/>
      <w:tcPr>
        <w:shd w:val="clear" w:color="F79646" w:fill="F79646" w:themeFill="accent6"/>
      </w:tcPr>
    </w:tblStylePr>
    <w:tblStylePr w:type="lastCol">
      <w:rPr>
        <w:sz w:val="22"/>
      </w:rPr>
      <w:tblPr/>
      <w:tcPr>
        <w:shd w:val="clear" w:color="F79646" w:fill="F79646" w:themeFill="accent6"/>
      </w:tcPr>
    </w:tblStylePr>
    <w:tblStylePr w:type="lastRow">
      <w:rPr>
        <w:sz w:val="22"/>
      </w:rPr>
      <w:tblPr/>
      <w:tcPr>
        <w:shd w:val="clear" w:color="F79646" w:fill="F79646" w:themeFill="accent6"/>
      </w:tcPr>
    </w:tblStylePr>
  </w:style>
  <w:style w:type="table" w:customStyle="1" w:styleId="1069">
    <w:name w:val="Bordered"/>
    <w:basedOn w:val="950"/>
    <w:uiPriority w:val="99"/>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CellMar>
        <w:left w:w="108" w:type="dxa"/>
        <w:top w:w="0" w:type="dxa"/>
        <w:right w:w="108" w:type="dxa"/>
        <w:bottom w:w="0" w:type="dxa"/>
      </w:tblCellMar>
    </w:tblPr>
    <w:tblStylePr w:type="band1Horz">
      <w:rPr>
        <w:sz w:val="22"/>
      </w:rPr>
      <w:tblPr/>
      <w:tcPr>
        <w:tcBorders>
          <w:top w:val="single" w:color="D9D9D9" w:themeColor="text1" w:sz="4" w:space="0"/>
          <w:left w:val="single" w:color="D9D9D9" w:themeColor="text1" w:sz="4" w:space="0"/>
          <w:bottom w:val="single" w:color="D9D9D9" w:themeColor="text1" w:sz="4" w:space="0"/>
          <w:right w:val="single" w:color="D9D9D9" w:themeColor="text1" w:sz="4" w:space="0"/>
        </w:tcBorders>
      </w:tcPr>
    </w:tblStylePr>
    <w:tblStylePr w:type="firstCol">
      <w:rPr>
        <w:sz w:val="22"/>
      </w:rPr>
      <w:tblPr/>
    </w:tblStylePr>
    <w:tblStylePr w:type="firstRow">
      <w:rPr>
        <w:sz w:val="22"/>
      </w:rPr>
      <w:tblPr/>
      <w:tcPr>
        <w:tcBorders>
          <w:bottom w:val="single" w:color="7F7F7F" w:themeColor="text1" w:sz="12" w:space="0"/>
        </w:tcBorders>
      </w:tcPr>
    </w:tblStylePr>
    <w:tblStylePr w:type="lastCol">
      <w:rPr>
        <w:sz w:val="22"/>
      </w:rPr>
      <w:tblPr/>
      <w:tcPr>
        <w:tcBorders>
          <w:left w:val="single" w:color="7F7F7F" w:themeColor="text1" w:sz="12" w:space="0"/>
        </w:tcBorders>
      </w:tcPr>
    </w:tblStylePr>
    <w:tblStylePr w:type="lastRow">
      <w:rPr>
        <w:sz w:val="22"/>
      </w:rPr>
      <w:tblPr/>
      <w:tcPr>
        <w:tcBorders>
          <w:top w:val="single" w:color="7F7F7F" w:themeColor="text1" w:sz="12" w:space="0"/>
        </w:tcBorders>
      </w:tcPr>
    </w:tblStylePr>
  </w:style>
  <w:style w:type="table" w:customStyle="1" w:styleId="1070">
    <w:name w:val="Bordered - Accent 1"/>
    <w:basedOn w:val="950"/>
    <w:uiPriority w:val="99"/>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CellMar>
        <w:left w:w="108" w:type="dxa"/>
        <w:top w:w="0" w:type="dxa"/>
        <w:right w:w="108" w:type="dxa"/>
        <w:bottom w:w="0" w:type="dxa"/>
      </w:tblCellMar>
    </w:tblPr>
    <w:tblStylePr w:type="band1Horz">
      <w:rPr>
        <w:sz w:val="22"/>
      </w:rPr>
      <w:tblPr/>
      <w:tcPr>
        <w:tcBorders>
          <w:top w:val="single" w:color="B7CBE4" w:themeColor="accent1" w:sz="4" w:space="0"/>
          <w:left w:val="single" w:color="B7CBE4" w:themeColor="accent1" w:sz="4" w:space="0"/>
          <w:bottom w:val="single" w:color="B7CBE4" w:themeColor="accent1" w:sz="4" w:space="0"/>
          <w:right w:val="single" w:color="B7CBE4" w:themeColor="accent1" w:sz="4" w:space="0"/>
        </w:tcBorders>
      </w:tcPr>
    </w:tblStylePr>
    <w:tblStylePr w:type="firstCol">
      <w:rPr>
        <w:sz w:val="22"/>
      </w:rPr>
      <w:tblPr/>
    </w:tblStylePr>
    <w:tblStylePr w:type="firstRow">
      <w:rPr>
        <w:sz w:val="22"/>
      </w:rPr>
      <w:tblPr/>
      <w:tcPr>
        <w:tcBorders>
          <w:bottom w:val="single" w:color="4F81BD" w:themeColor="accent1" w:sz="12" w:space="0"/>
        </w:tcBorders>
      </w:tcPr>
    </w:tblStylePr>
    <w:tblStylePr w:type="lastCol">
      <w:rPr>
        <w:sz w:val="22"/>
      </w:rPr>
      <w:tblPr/>
      <w:tcPr>
        <w:tcBorders>
          <w:left w:val="single" w:color="4F81BD" w:themeColor="accent1" w:sz="12" w:space="0"/>
        </w:tcBorders>
      </w:tcPr>
    </w:tblStylePr>
    <w:tblStylePr w:type="lastRow">
      <w:rPr>
        <w:sz w:val="22"/>
      </w:rPr>
      <w:tblPr/>
      <w:tcPr>
        <w:tcBorders>
          <w:top w:val="single" w:color="4F81BD" w:themeColor="accent1" w:sz="12" w:space="0"/>
        </w:tcBorders>
      </w:tcPr>
    </w:tblStylePr>
  </w:style>
  <w:style w:type="table" w:customStyle="1" w:styleId="1071">
    <w:name w:val="Bordered - Accent 2"/>
    <w:basedOn w:val="950"/>
    <w:uiPriority w:val="99"/>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CellMar>
        <w:left w:w="108" w:type="dxa"/>
        <w:top w:w="0" w:type="dxa"/>
        <w:right w:w="108" w:type="dxa"/>
        <w:bottom w:w="0" w:type="dxa"/>
      </w:tblCellMar>
    </w:tblPr>
    <w:tblStylePr w:type="band1Horz">
      <w:rPr>
        <w:sz w:val="22"/>
      </w:rPr>
      <w:tblPr/>
      <w:tcPr>
        <w:tcBorders>
          <w:top w:val="single" w:color="E5B7B6" w:themeColor="accent2" w:sz="4" w:space="0"/>
          <w:left w:val="single" w:color="E5B7B6" w:themeColor="accent2" w:sz="4" w:space="0"/>
          <w:bottom w:val="single" w:color="E5B7B6" w:themeColor="accent2" w:sz="4" w:space="0"/>
          <w:right w:val="single" w:color="E5B7B6" w:themeColor="accent2" w:sz="4" w:space="0"/>
        </w:tcBorders>
      </w:tcPr>
    </w:tblStylePr>
    <w:tblStylePr w:type="firstCol">
      <w:rPr>
        <w:sz w:val="22"/>
      </w:rPr>
      <w:tblPr/>
    </w:tblStylePr>
    <w:tblStylePr w:type="firstRow">
      <w:rPr>
        <w:sz w:val="22"/>
      </w:rPr>
      <w:tblPr/>
      <w:tcPr>
        <w:tcBorders>
          <w:bottom w:val="single" w:color="D99695" w:themeColor="accent2" w:sz="12" w:space="0"/>
        </w:tcBorders>
      </w:tcPr>
    </w:tblStylePr>
    <w:tblStylePr w:type="lastCol">
      <w:rPr>
        <w:sz w:val="22"/>
      </w:rPr>
      <w:tblPr/>
      <w:tcPr>
        <w:tcBorders>
          <w:left w:val="single" w:color="D99695" w:themeColor="accent2" w:sz="12" w:space="0"/>
        </w:tcBorders>
      </w:tcPr>
    </w:tblStylePr>
    <w:tblStylePr w:type="lastRow">
      <w:rPr>
        <w:sz w:val="22"/>
      </w:rPr>
      <w:tblPr/>
      <w:tcPr>
        <w:tcBorders>
          <w:top w:val="single" w:color="D99695" w:themeColor="accent2" w:sz="12" w:space="0"/>
        </w:tcBorders>
      </w:tcPr>
    </w:tblStylePr>
  </w:style>
  <w:style w:type="table" w:customStyle="1" w:styleId="1072">
    <w:name w:val="Bordered - Accent 3"/>
    <w:basedOn w:val="950"/>
    <w:uiPriority w:val="99"/>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CellMar>
        <w:left w:w="108" w:type="dxa"/>
        <w:top w:w="0" w:type="dxa"/>
        <w:right w:w="108" w:type="dxa"/>
        <w:bottom w:w="0" w:type="dxa"/>
      </w:tblCellMar>
    </w:tblPr>
    <w:tblStylePr w:type="band1Horz">
      <w:rPr>
        <w:sz w:val="22"/>
      </w:rPr>
      <w:tblPr/>
      <w:tcPr>
        <w:tcBorders>
          <w:top w:val="single" w:color="D6E3BB" w:themeColor="accent3" w:sz="4" w:space="0"/>
          <w:left w:val="single" w:color="D6E3BB" w:themeColor="accent3" w:sz="4" w:space="0"/>
          <w:bottom w:val="single" w:color="D6E3BB" w:themeColor="accent3" w:sz="4" w:space="0"/>
          <w:right w:val="single" w:color="D6E3BB" w:themeColor="accent3" w:sz="4" w:space="0"/>
        </w:tcBorders>
      </w:tcPr>
    </w:tblStylePr>
    <w:tblStylePr w:type="firstCol">
      <w:rPr>
        <w:sz w:val="22"/>
      </w:rPr>
      <w:tblPr/>
    </w:tblStylePr>
    <w:tblStylePr w:type="firstRow">
      <w:rPr>
        <w:sz w:val="22"/>
      </w:rPr>
      <w:tblPr/>
      <w:tcPr>
        <w:tcBorders>
          <w:bottom w:val="single" w:color="C3D69B" w:themeColor="accent3" w:sz="12" w:space="0"/>
        </w:tcBorders>
      </w:tcPr>
    </w:tblStylePr>
    <w:tblStylePr w:type="lastCol">
      <w:rPr>
        <w:sz w:val="22"/>
      </w:rPr>
      <w:tblPr/>
      <w:tcPr>
        <w:tcBorders>
          <w:left w:val="single" w:color="C3D69B" w:themeColor="accent3" w:sz="12" w:space="0"/>
        </w:tcBorders>
      </w:tcPr>
    </w:tblStylePr>
    <w:tblStylePr w:type="lastRow">
      <w:rPr>
        <w:sz w:val="22"/>
      </w:rPr>
      <w:tblPr/>
      <w:tcPr>
        <w:tcBorders>
          <w:top w:val="single" w:color="C3D69B" w:themeColor="accent3" w:sz="12" w:space="0"/>
        </w:tcBorders>
      </w:tcPr>
    </w:tblStylePr>
  </w:style>
  <w:style w:type="table" w:customStyle="1" w:styleId="1073">
    <w:name w:val="Bordered - Accent 4"/>
    <w:basedOn w:val="950"/>
    <w:uiPriority w:val="99"/>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CellMar>
        <w:left w:w="108" w:type="dxa"/>
        <w:top w:w="0" w:type="dxa"/>
        <w:right w:w="108" w:type="dxa"/>
        <w:bottom w:w="0" w:type="dxa"/>
      </w:tblCellMar>
    </w:tblPr>
    <w:tblStylePr w:type="band1Horz">
      <w:rPr>
        <w:sz w:val="22"/>
      </w:rPr>
      <w:tblPr/>
      <w:tcPr>
        <w:tcBorders>
          <w:top w:val="single" w:color="CBC0D9" w:themeColor="accent4" w:sz="4" w:space="0"/>
          <w:left w:val="single" w:color="CBC0D9" w:themeColor="accent4" w:sz="4" w:space="0"/>
          <w:bottom w:val="single" w:color="CBC0D9" w:themeColor="accent4" w:sz="4" w:space="0"/>
          <w:right w:val="single" w:color="CBC0D9" w:themeColor="accent4" w:sz="4" w:space="0"/>
        </w:tcBorders>
      </w:tcPr>
    </w:tblStylePr>
    <w:tblStylePr w:type="firstCol">
      <w:rPr>
        <w:sz w:val="22"/>
      </w:rPr>
      <w:tblPr/>
    </w:tblStylePr>
    <w:tblStylePr w:type="firstRow">
      <w:rPr>
        <w:sz w:val="22"/>
      </w:rPr>
      <w:tblPr/>
      <w:tcPr>
        <w:tcBorders>
          <w:bottom w:val="single" w:color="B2A1C6" w:themeColor="accent4" w:sz="12" w:space="0"/>
        </w:tcBorders>
      </w:tcPr>
    </w:tblStylePr>
    <w:tblStylePr w:type="lastCol">
      <w:rPr>
        <w:sz w:val="22"/>
      </w:rPr>
      <w:tblPr/>
      <w:tcPr>
        <w:tcBorders>
          <w:left w:val="single" w:color="B2A1C6" w:themeColor="accent4" w:sz="12" w:space="0"/>
        </w:tcBorders>
      </w:tcPr>
    </w:tblStylePr>
    <w:tblStylePr w:type="lastRow">
      <w:rPr>
        <w:sz w:val="22"/>
      </w:rPr>
      <w:tblPr/>
      <w:tcPr>
        <w:tcBorders>
          <w:top w:val="single" w:color="B2A1C6" w:themeColor="accent4" w:sz="12" w:space="0"/>
        </w:tcBorders>
      </w:tcPr>
    </w:tblStylePr>
  </w:style>
  <w:style w:type="table" w:customStyle="1" w:styleId="1074">
    <w:name w:val="Bordered - Accent 5"/>
    <w:basedOn w:val="950"/>
    <w:uiPriority w:val="99"/>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CellMar>
        <w:left w:w="108" w:type="dxa"/>
        <w:top w:w="0" w:type="dxa"/>
        <w:right w:w="108" w:type="dxa"/>
        <w:bottom w:w="0" w:type="dxa"/>
      </w:tblCellMar>
    </w:tblPr>
    <w:tblStylePr w:type="band1Horz">
      <w:rPr>
        <w:sz w:val="22"/>
      </w:rPr>
      <w:tblPr/>
      <w:tcPr>
        <w:tcBorders>
          <w:top w:val="single" w:color="B6DDE8" w:themeColor="accent5" w:sz="4" w:space="0"/>
          <w:left w:val="single" w:color="B6DDE8" w:themeColor="accent5" w:sz="4" w:space="0"/>
          <w:bottom w:val="single" w:color="B6DDE8" w:themeColor="accent5" w:sz="4" w:space="0"/>
          <w:right w:val="single" w:color="B6DDE8" w:themeColor="accent5" w:sz="4" w:space="0"/>
        </w:tcBorders>
      </w:tcPr>
    </w:tblStylePr>
    <w:tblStylePr w:type="firstCol">
      <w:rPr>
        <w:sz w:val="22"/>
      </w:rPr>
      <w:tblPr/>
    </w:tblStylePr>
    <w:tblStylePr w:type="firstRow">
      <w:rPr>
        <w:sz w:val="22"/>
      </w:rPr>
      <w:tblPr/>
      <w:tcPr>
        <w:tcBorders>
          <w:bottom w:val="single" w:color="92CCDC" w:themeColor="accent5" w:sz="12" w:space="0"/>
        </w:tcBorders>
      </w:tcPr>
    </w:tblStylePr>
    <w:tblStylePr w:type="lastCol">
      <w:rPr>
        <w:sz w:val="22"/>
      </w:rPr>
      <w:tblPr/>
      <w:tcPr>
        <w:tcBorders>
          <w:left w:val="single" w:color="92CCDC" w:themeColor="accent5" w:sz="12" w:space="0"/>
        </w:tcBorders>
      </w:tcPr>
    </w:tblStylePr>
    <w:tblStylePr w:type="lastRow">
      <w:rPr>
        <w:sz w:val="22"/>
      </w:rPr>
      <w:tblPr/>
      <w:tcPr>
        <w:tcBorders>
          <w:top w:val="single" w:color="92CCDC" w:themeColor="accent5" w:sz="12" w:space="0"/>
        </w:tcBorders>
      </w:tcPr>
    </w:tblStylePr>
  </w:style>
  <w:style w:type="table" w:customStyle="1" w:styleId="1075">
    <w:name w:val="Bordered - Accent 6"/>
    <w:basedOn w:val="950"/>
    <w:uiPriority w:val="99"/>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CellMar>
        <w:left w:w="108" w:type="dxa"/>
        <w:top w:w="0" w:type="dxa"/>
        <w:right w:w="108" w:type="dxa"/>
        <w:bottom w:w="0" w:type="dxa"/>
      </w:tblCellMar>
    </w:tblPr>
    <w:tblStylePr w:type="band1Horz">
      <w:rPr>
        <w:sz w:val="22"/>
      </w:rPr>
      <w:tblPr/>
      <w:tcPr>
        <w:tcBorders>
          <w:top w:val="single" w:color="FBD4B4" w:themeColor="accent6" w:sz="4" w:space="0"/>
          <w:left w:val="single" w:color="FBD4B4" w:themeColor="accent6" w:sz="4" w:space="0"/>
          <w:bottom w:val="single" w:color="FBD4B4" w:themeColor="accent6" w:sz="4" w:space="0"/>
          <w:right w:val="single" w:color="FBD4B4" w:themeColor="accent6" w:sz="4" w:space="0"/>
        </w:tcBorders>
      </w:tcPr>
    </w:tblStylePr>
    <w:tblStylePr w:type="firstCol">
      <w:rPr>
        <w:sz w:val="22"/>
      </w:rPr>
      <w:tblPr/>
    </w:tblStylePr>
    <w:tblStylePr w:type="firstRow">
      <w:rPr>
        <w:sz w:val="22"/>
      </w:rPr>
      <w:tblPr/>
      <w:tcPr>
        <w:tcBorders>
          <w:bottom w:val="single" w:color="FAC090" w:themeColor="accent6" w:sz="12" w:space="0"/>
        </w:tcBorders>
      </w:tcPr>
    </w:tblStylePr>
    <w:tblStylePr w:type="lastCol">
      <w:rPr>
        <w:sz w:val="22"/>
      </w:rPr>
      <w:tblPr/>
      <w:tcPr>
        <w:tcBorders>
          <w:left w:val="single" w:color="FAC090" w:themeColor="accent6" w:sz="12" w:space="0"/>
        </w:tcBorders>
      </w:tcPr>
    </w:tblStylePr>
    <w:tblStylePr w:type="lastRow">
      <w:rPr>
        <w:sz w:val="22"/>
      </w:rPr>
      <w:tblPr/>
      <w:tcPr>
        <w:tcBorders>
          <w:top w:val="single" w:color="FAC090" w:themeColor="accent6" w:sz="12" w:space="0"/>
        </w:tcBorders>
      </w:tcPr>
    </w:tblStylePr>
  </w:style>
  <w:style w:type="table" w:styleId="1076">
    <w:name w:val="Table Grid"/>
    <w:basedOn w:val="950"/>
    <w:pPr>
      <w:spacing w:line="360" w:lineRule="auto"/>
      <w:jc w:val="both"/>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94D5CE8889791A29DE57299515463A9D6134D8237B999C803E6F853513x2A2P" TargetMode="External"/><Relationship Id="rId3" Type="http://schemas.openxmlformats.org/officeDocument/2006/relationships/hyperlink" Target="consultantplus://offline/ref=94D5CE8889791A29DE57299515463A9D6135D2287D929C803E6F853513x2A2P" TargetMode="External"/><Relationship Id="rId4"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hyperlink" Target="mailto:doc-ats@dgk.ru" TargetMode="Externa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otnotes" Target="footnotes.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Relationship Id="rId14" Type="http://schemas.openxmlformats.org/officeDocument/2006/relationships/customXml" Target="../customXml/item2.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pitchFamily="0" charset="1"/>
        <a:ea typeface="Arial" pitchFamily="0" charset="1"/>
        <a:cs typeface="Arial" pitchFamily="0" charset="1"/>
      </a:majorFont>
      <a:minorFont>
        <a:latin typeface="Calibri" pitchFamily="0" charset="1"/>
        <a:ea typeface="Arial" pitchFamily="0" charset="1"/>
        <a:cs typeface="Arial" pitchFamily="0" charset="1"/>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0" t="0" r="0" b="0"/>
          </a:path>
          <a:tileRect l="0" t="0" r="0" b="0"/>
        </a:gradFill>
        <a:gradFill>
          <a:gsLst>
            <a:gs pos="0">
              <a:schemeClr val="phClr">
                <a:tint val="80000"/>
              </a:schemeClr>
            </a:gs>
            <a:gs pos="100000">
              <a:schemeClr val="phClr">
                <a:shade val="30000"/>
              </a:schemeClr>
            </a:gs>
          </a:gsLst>
          <a:path path="circle">
            <a:fillToRect l="0" t="0" r="0" b="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4410AE-C98D-47B7-85CD-1DFE86597712}">
  <ds:schemaRefs>
    <ds:schemaRef ds:uri="http://schemas.openxmlformats.org/officeDocument/2006/bibliography"/>
  </ds:schemaRefs>
</ds:datastoreItem>
</file>

<file path=customXml/itemProps2.xml><?xml version="1.0" encoding="utf-8"?>
<ds:datastoreItem xmlns:ds="http://schemas.openxmlformats.org/officeDocument/2006/customXml" ds:itemID="{6705CA85-9DF8-44B8-9A1B-F0AA5177D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Application>LibreOffice/7.6.7.2$Linux_X86_64 LibreOffice_project/60$Build-2</Application>
  <AppVersion>15.0000</AppVersion>
  <Pages>36</Pages>
  <Words>15066</Words>
  <Characters>107633</Characters>
  <CharactersWithSpaces>122917</CharactersWithSpaces>
  <Paragraphs>559</Paragraphs>
  <Company>УК ГидроОГК</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2023-02-08T05:07:00Z</dcterms:created>
  <dc:creator>UK VoHEC</dc:creator>
  <dc:description/>
  <dc:language>ru-RU</dc:language>
  <cp:lastModifiedBy/>
  <dcterms:modified xsi:type="dcterms:W3CDTF">2026-03-16T10:13:50Z</dcterms:modified>
  <cp:revision>276</cp:revision>
  <dc:subject/>
  <dc:title>ДОГОВОР № ____</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